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2F" w:rsidRDefault="0015512F" w:rsidP="0015512F">
      <w:pPr>
        <w:pStyle w:val="GvdeMetni"/>
        <w:spacing w:before="90" w:line="276" w:lineRule="auto"/>
        <w:ind w:left="444" w:right="112" w:firstLine="0"/>
        <w:rPr>
          <w:color w:val="333333"/>
          <w:sz w:val="20"/>
          <w:szCs w:val="20"/>
        </w:rPr>
      </w:pPr>
    </w:p>
    <w:p w:rsidR="0015512F" w:rsidRDefault="0015512F" w:rsidP="0015512F">
      <w:pPr>
        <w:pStyle w:val="GvdeMetni"/>
        <w:spacing w:before="90" w:line="276" w:lineRule="auto"/>
        <w:ind w:left="444" w:right="112" w:firstLine="0"/>
        <w:rPr>
          <w:color w:val="333333"/>
          <w:sz w:val="20"/>
          <w:szCs w:val="20"/>
        </w:rPr>
      </w:pPr>
    </w:p>
    <w:p w:rsidR="0015512F" w:rsidRDefault="0015512F" w:rsidP="0015512F">
      <w:pPr>
        <w:pStyle w:val="GvdeMetni"/>
        <w:spacing w:before="90" w:line="276" w:lineRule="auto"/>
        <w:ind w:left="444" w:right="112" w:firstLine="0"/>
        <w:rPr>
          <w:color w:val="333333"/>
        </w:rPr>
      </w:pPr>
    </w:p>
    <w:p w:rsidR="0015512F" w:rsidRDefault="0015512F" w:rsidP="0015512F">
      <w:pPr>
        <w:pStyle w:val="GvdeMetni"/>
        <w:spacing w:before="90" w:line="276" w:lineRule="auto"/>
        <w:ind w:left="444" w:right="112" w:firstLine="0"/>
      </w:pPr>
      <w:r>
        <w:rPr>
          <w:color w:val="333333"/>
        </w:rPr>
        <w:t xml:space="preserve">Yükseköğretim kurumlarında Ön Lisans ve Lisans Düzeyindeki Programlar Arasında Geçiş, Çift </w:t>
      </w:r>
      <w:proofErr w:type="spellStart"/>
      <w:r>
        <w:rPr>
          <w:color w:val="333333"/>
        </w:rPr>
        <w:t>Anadal</w:t>
      </w:r>
      <w:proofErr w:type="spellEnd"/>
      <w:r>
        <w:rPr>
          <w:color w:val="333333"/>
        </w:rPr>
        <w:t xml:space="preserve">, Yan Dal ile </w:t>
      </w:r>
      <w:proofErr w:type="spellStart"/>
      <w:r>
        <w:rPr>
          <w:color w:val="333333"/>
        </w:rPr>
        <w:t>Kurumlararası</w:t>
      </w:r>
      <w:proofErr w:type="spellEnd"/>
      <w:r>
        <w:rPr>
          <w:color w:val="333333"/>
        </w:rPr>
        <w:t xml:space="preserve"> Kredi Transferi Yapılması Esaslarına İlişkin Yönetmeliğin Ek Madde 1 uyarınca yapılacak yatay geçiş işlemlerinde güz ve bahar dönemi için yükseköğretim kurumları tarafından yürütülecek işlemlere </w:t>
      </w:r>
      <w:proofErr w:type="gramStart"/>
      <w:r>
        <w:rPr>
          <w:color w:val="333333"/>
        </w:rPr>
        <w:t>ilişkin  usul</w:t>
      </w:r>
      <w:proofErr w:type="gramEnd"/>
      <w:r>
        <w:rPr>
          <w:color w:val="333333"/>
        </w:rPr>
        <w:t xml:space="preserve"> ve esaslar </w:t>
      </w:r>
      <w:r>
        <w:rPr>
          <w:b/>
          <w:color w:val="333333"/>
        </w:rPr>
        <w:t xml:space="preserve">08/01/2015 tarihli Yükseköğretim Yürütme Kurulu </w:t>
      </w:r>
      <w:r>
        <w:rPr>
          <w:color w:val="333333"/>
        </w:rPr>
        <w:t>toplantısında görüşülmüş ve adı geçen yönetmeliğin Ek Madde 1'i dikkate alınarak, daha önce konuya ilişkin alınan Yükseköğretim Yürütme Kurulu kararları yürürlükten kaldırılarak, bu tarihten sonra Ek Madde 1 uyarınca yapılacak yatay geçiş işlemlerinde yükseköğretim kurumları tarafından aşağıda yer alan usul ve esaslara göre işlem yapılmasına karar verilmiştir.</w:t>
      </w:r>
    </w:p>
    <w:p w:rsidR="0015512F" w:rsidRDefault="0015512F" w:rsidP="0015512F">
      <w:pPr>
        <w:pStyle w:val="GvdeMetni"/>
        <w:spacing w:before="8"/>
        <w:ind w:left="0" w:firstLine="0"/>
        <w:jc w:val="left"/>
        <w:rPr>
          <w:sz w:val="27"/>
        </w:rPr>
      </w:pPr>
    </w:p>
    <w:p w:rsidR="0015512F" w:rsidRDefault="0015512F" w:rsidP="0015512F">
      <w:pPr>
        <w:pStyle w:val="ListeParagraf"/>
        <w:numPr>
          <w:ilvl w:val="0"/>
          <w:numId w:val="1"/>
        </w:numPr>
        <w:tabs>
          <w:tab w:val="left" w:pos="738"/>
        </w:tabs>
        <w:spacing w:before="1"/>
        <w:ind w:right="0" w:hanging="293"/>
        <w:rPr>
          <w:sz w:val="24"/>
        </w:rPr>
      </w:pPr>
      <w:r>
        <w:rPr>
          <w:color w:val="333333"/>
          <w:sz w:val="24"/>
        </w:rPr>
        <w:t>GÜZ BAŞVURULARINA İLİŞKİN USUL VE</w:t>
      </w:r>
      <w:r>
        <w:rPr>
          <w:color w:val="333333"/>
          <w:spacing w:val="-5"/>
          <w:sz w:val="24"/>
        </w:rPr>
        <w:t xml:space="preserve"> </w:t>
      </w:r>
      <w:r>
        <w:rPr>
          <w:color w:val="333333"/>
          <w:sz w:val="24"/>
        </w:rPr>
        <w:t>ESASLAR</w:t>
      </w:r>
    </w:p>
    <w:p w:rsidR="0015512F" w:rsidRDefault="0015512F" w:rsidP="0015512F">
      <w:pPr>
        <w:pStyle w:val="GvdeMetni"/>
        <w:spacing w:before="10"/>
        <w:ind w:left="0" w:firstLine="0"/>
        <w:jc w:val="left"/>
        <w:rPr>
          <w:sz w:val="20"/>
        </w:rPr>
      </w:pPr>
    </w:p>
    <w:p w:rsidR="0015512F" w:rsidRDefault="0015512F" w:rsidP="0015512F">
      <w:pPr>
        <w:pStyle w:val="ListeParagraf"/>
        <w:numPr>
          <w:ilvl w:val="1"/>
          <w:numId w:val="1"/>
        </w:numPr>
        <w:tabs>
          <w:tab w:val="left" w:pos="740"/>
        </w:tabs>
        <w:spacing w:before="0" w:line="276" w:lineRule="auto"/>
        <w:ind w:right="109" w:hanging="357"/>
        <w:rPr>
          <w:sz w:val="24"/>
        </w:rPr>
      </w:pPr>
      <w:r>
        <w:rPr>
          <w:color w:val="333333"/>
          <w:sz w:val="24"/>
        </w:rPr>
        <w:t xml:space="preserve">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proofErr w:type="gramStart"/>
      <w:r>
        <w:rPr>
          <w:color w:val="333333"/>
          <w:sz w:val="24"/>
        </w:rPr>
        <w:t>imkanları</w:t>
      </w:r>
      <w:proofErr w:type="gramEnd"/>
      <w:r>
        <w:rPr>
          <w:color w:val="333333"/>
          <w:sz w:val="24"/>
        </w:rP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w:t>
      </w:r>
      <w:r>
        <w:rPr>
          <w:color w:val="333333"/>
          <w:spacing w:val="3"/>
          <w:sz w:val="24"/>
        </w:rPr>
        <w:t xml:space="preserve"> </w:t>
      </w:r>
      <w:r>
        <w:rPr>
          <w:color w:val="333333"/>
          <w:sz w:val="24"/>
        </w:rPr>
        <w:t>yapamayacaklarına),</w:t>
      </w:r>
    </w:p>
    <w:p w:rsidR="0015512F" w:rsidRDefault="0015512F" w:rsidP="0015512F">
      <w:pPr>
        <w:pStyle w:val="ListeParagraf"/>
        <w:numPr>
          <w:ilvl w:val="1"/>
          <w:numId w:val="1"/>
        </w:numPr>
        <w:tabs>
          <w:tab w:val="left" w:pos="740"/>
        </w:tabs>
        <w:spacing w:before="122" w:line="276" w:lineRule="auto"/>
        <w:ind w:right="112" w:hanging="357"/>
        <w:rPr>
          <w:sz w:val="24"/>
        </w:rPr>
      </w:pPr>
      <w:proofErr w:type="gramStart"/>
      <w:r>
        <w:rPr>
          <w:color w:val="333333"/>
          <w:sz w:val="24"/>
        </w:rPr>
        <w:t>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w:t>
      </w:r>
      <w:r>
        <w:rPr>
          <w:color w:val="333333"/>
          <w:spacing w:val="-11"/>
          <w:sz w:val="24"/>
        </w:rPr>
        <w:t xml:space="preserve"> </w:t>
      </w:r>
      <w:r>
        <w:rPr>
          <w:color w:val="333333"/>
          <w:sz w:val="24"/>
        </w:rPr>
        <w:t>yapabilecektir.)</w:t>
      </w:r>
      <w:proofErr w:type="gramEnd"/>
    </w:p>
    <w:p w:rsidR="0015512F" w:rsidRDefault="0015512F" w:rsidP="0015512F">
      <w:pPr>
        <w:pStyle w:val="ListeParagraf"/>
        <w:numPr>
          <w:ilvl w:val="1"/>
          <w:numId w:val="1"/>
        </w:numPr>
        <w:tabs>
          <w:tab w:val="left" w:pos="740"/>
        </w:tabs>
        <w:spacing w:before="119" w:line="276" w:lineRule="auto"/>
        <w:ind w:right="118" w:hanging="357"/>
        <w:rPr>
          <w:sz w:val="24"/>
        </w:rPr>
      </w:pPr>
      <w:r>
        <w:rPr>
          <w:color w:val="333333"/>
          <w:sz w:val="24"/>
        </w:rPr>
        <w:t>Özel Yetenek Sınavı sonucuna göre kayıt yaptıran öğrencilerin de ikinci madde şartlarını sağlamaları durumunda başvuru yapabileceklerine, ancak özel yetenek sınavı ile öğrenci kabul eden programlara başvuru</w:t>
      </w:r>
      <w:r>
        <w:rPr>
          <w:color w:val="333333"/>
          <w:spacing w:val="-3"/>
          <w:sz w:val="24"/>
        </w:rPr>
        <w:t xml:space="preserve"> </w:t>
      </w:r>
      <w:r>
        <w:rPr>
          <w:color w:val="333333"/>
          <w:sz w:val="24"/>
        </w:rPr>
        <w:t>yapılamayacağına,</w:t>
      </w:r>
    </w:p>
    <w:p w:rsidR="0015512F" w:rsidRDefault="0015512F" w:rsidP="0015512F">
      <w:pPr>
        <w:pStyle w:val="ListeParagraf"/>
        <w:numPr>
          <w:ilvl w:val="1"/>
          <w:numId w:val="1"/>
        </w:numPr>
        <w:tabs>
          <w:tab w:val="left" w:pos="740"/>
        </w:tabs>
        <w:spacing w:line="276" w:lineRule="auto"/>
        <w:ind w:right="117" w:hanging="357"/>
        <w:rPr>
          <w:sz w:val="24"/>
        </w:rPr>
      </w:pPr>
      <w:r>
        <w:rPr>
          <w:color w:val="333333"/>
          <w:sz w:val="24"/>
        </w:rPr>
        <w:t>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w:t>
      </w:r>
      <w:r>
        <w:rPr>
          <w:color w:val="333333"/>
          <w:spacing w:val="-1"/>
          <w:sz w:val="24"/>
        </w:rPr>
        <w:t xml:space="preserve"> </w:t>
      </w:r>
      <w:r>
        <w:rPr>
          <w:color w:val="333333"/>
          <w:sz w:val="24"/>
        </w:rPr>
        <w:t>lisansa),</w:t>
      </w:r>
    </w:p>
    <w:p w:rsidR="0015512F" w:rsidRDefault="0015512F" w:rsidP="0015512F">
      <w:pPr>
        <w:pStyle w:val="ListeParagraf"/>
        <w:numPr>
          <w:ilvl w:val="1"/>
          <w:numId w:val="1"/>
        </w:numPr>
        <w:tabs>
          <w:tab w:val="left" w:pos="740"/>
        </w:tabs>
        <w:spacing w:before="121" w:line="276" w:lineRule="auto"/>
        <w:ind w:hanging="357"/>
        <w:rPr>
          <w:sz w:val="24"/>
        </w:rPr>
      </w:pPr>
      <w:r>
        <w:rPr>
          <w:color w:val="333333"/>
          <w:sz w:val="24"/>
        </w:rPr>
        <w:t>Öğrencilerin Ek Madde -1 uyarınca sadece bir defa yatay geçiş yapabilmesine, (İlgili başvuru döneminden önce Ek Madde-1 uyarınca yatay geçiş yapan öğrencilerin tekrar</w:t>
      </w:r>
      <w:r>
        <w:rPr>
          <w:color w:val="333333"/>
          <w:spacing w:val="28"/>
          <w:sz w:val="24"/>
        </w:rPr>
        <w:t xml:space="preserve"> </w:t>
      </w:r>
      <w:r>
        <w:rPr>
          <w:color w:val="333333"/>
          <w:sz w:val="24"/>
        </w:rPr>
        <w:t>yatay</w:t>
      </w:r>
      <w:r>
        <w:rPr>
          <w:color w:val="333333"/>
          <w:spacing w:val="19"/>
          <w:sz w:val="24"/>
        </w:rPr>
        <w:t xml:space="preserve"> </w:t>
      </w:r>
      <w:r>
        <w:rPr>
          <w:color w:val="333333"/>
          <w:sz w:val="24"/>
        </w:rPr>
        <w:t>geçiş</w:t>
      </w:r>
      <w:r>
        <w:rPr>
          <w:color w:val="333333"/>
          <w:spacing w:val="27"/>
          <w:sz w:val="24"/>
        </w:rPr>
        <w:t xml:space="preserve"> </w:t>
      </w:r>
      <w:r>
        <w:rPr>
          <w:color w:val="333333"/>
          <w:sz w:val="24"/>
        </w:rPr>
        <w:t>yapamayacağına)</w:t>
      </w:r>
      <w:r>
        <w:rPr>
          <w:color w:val="333333"/>
          <w:spacing w:val="23"/>
          <w:sz w:val="24"/>
        </w:rPr>
        <w:t xml:space="preserve"> </w:t>
      </w:r>
      <w:r>
        <w:rPr>
          <w:color w:val="333333"/>
          <w:sz w:val="24"/>
        </w:rPr>
        <w:t>ancak,</w:t>
      </w:r>
      <w:r>
        <w:rPr>
          <w:color w:val="333333"/>
          <w:spacing w:val="23"/>
          <w:sz w:val="24"/>
        </w:rPr>
        <w:t xml:space="preserve"> </w:t>
      </w:r>
      <w:r>
        <w:rPr>
          <w:color w:val="333333"/>
          <w:sz w:val="24"/>
        </w:rPr>
        <w:t>söz</w:t>
      </w:r>
      <w:r>
        <w:rPr>
          <w:color w:val="333333"/>
          <w:spacing w:val="23"/>
          <w:sz w:val="24"/>
        </w:rPr>
        <w:t xml:space="preserve"> </w:t>
      </w:r>
      <w:r>
        <w:rPr>
          <w:color w:val="333333"/>
          <w:sz w:val="24"/>
        </w:rPr>
        <w:t>konusu</w:t>
      </w:r>
      <w:r>
        <w:rPr>
          <w:color w:val="333333"/>
          <w:spacing w:val="22"/>
          <w:sz w:val="24"/>
        </w:rPr>
        <w:t xml:space="preserve"> </w:t>
      </w:r>
      <w:r>
        <w:rPr>
          <w:color w:val="333333"/>
          <w:sz w:val="24"/>
        </w:rPr>
        <w:t>madde</w:t>
      </w:r>
      <w:r>
        <w:rPr>
          <w:color w:val="333333"/>
          <w:spacing w:val="21"/>
          <w:sz w:val="24"/>
        </w:rPr>
        <w:t xml:space="preserve"> </w:t>
      </w:r>
      <w:r>
        <w:rPr>
          <w:color w:val="333333"/>
          <w:sz w:val="24"/>
        </w:rPr>
        <w:t>uyarınca</w:t>
      </w:r>
      <w:r>
        <w:rPr>
          <w:color w:val="333333"/>
          <w:spacing w:val="23"/>
          <w:sz w:val="24"/>
        </w:rPr>
        <w:t xml:space="preserve"> </w:t>
      </w:r>
      <w:r>
        <w:rPr>
          <w:color w:val="333333"/>
          <w:sz w:val="24"/>
        </w:rPr>
        <w:t>yatay</w:t>
      </w:r>
      <w:r>
        <w:rPr>
          <w:color w:val="333333"/>
          <w:spacing w:val="19"/>
          <w:sz w:val="24"/>
        </w:rPr>
        <w:t xml:space="preserve"> </w:t>
      </w:r>
      <w:r>
        <w:rPr>
          <w:color w:val="333333"/>
          <w:sz w:val="24"/>
        </w:rPr>
        <w:t>geçiş</w:t>
      </w:r>
    </w:p>
    <w:p w:rsidR="0015512F" w:rsidRDefault="0015512F" w:rsidP="0015512F">
      <w:pPr>
        <w:spacing w:after="0" w:line="276" w:lineRule="auto"/>
        <w:rPr>
          <w:rFonts w:ascii="Times New Roman" w:eastAsia="Times New Roman" w:hAnsi="Times New Roman" w:cs="Times New Roman"/>
          <w:sz w:val="24"/>
          <w:lang w:eastAsia="tr-TR" w:bidi="tr-TR"/>
        </w:rPr>
        <w:sectPr w:rsidR="0015512F">
          <w:pgSz w:w="11910" w:h="16840"/>
          <w:pgMar w:top="1580" w:right="1160" w:bottom="280" w:left="1680" w:header="708" w:footer="708" w:gutter="0"/>
          <w:cols w:space="708"/>
        </w:sectPr>
      </w:pPr>
    </w:p>
    <w:p w:rsidR="0015512F" w:rsidRDefault="0015512F" w:rsidP="0015512F">
      <w:pPr>
        <w:pStyle w:val="GvdeMetni"/>
        <w:spacing w:before="72" w:line="276" w:lineRule="auto"/>
        <w:jc w:val="left"/>
      </w:pPr>
      <w:proofErr w:type="gramStart"/>
      <w:r>
        <w:rPr>
          <w:color w:val="333333"/>
        </w:rPr>
        <w:lastRenderedPageBreak/>
        <w:t>yapan</w:t>
      </w:r>
      <w:proofErr w:type="gramEnd"/>
      <w:r>
        <w:rPr>
          <w:color w:val="333333"/>
        </w:rPr>
        <w:t xml:space="preserve"> öğrencilerin ÖSYS merkezi yerleştirme sonucu kayıt hakkı kazandıkları yükseköğretim kurumuna daha sonraki başvuru tarihlerinde geri dönebilmelerine,</w:t>
      </w:r>
    </w:p>
    <w:p w:rsidR="0015512F" w:rsidRDefault="0015512F" w:rsidP="0015512F">
      <w:pPr>
        <w:pStyle w:val="ListeParagraf"/>
        <w:numPr>
          <w:ilvl w:val="1"/>
          <w:numId w:val="1"/>
        </w:numPr>
        <w:tabs>
          <w:tab w:val="left" w:pos="740"/>
        </w:tabs>
        <w:spacing w:before="116" w:line="276" w:lineRule="auto"/>
        <w:ind w:right="108" w:hanging="357"/>
        <w:rPr>
          <w:sz w:val="24"/>
        </w:rPr>
      </w:pPr>
      <w:proofErr w:type="gramStart"/>
      <w:r>
        <w:rPr>
          <w:color w:val="333333"/>
          <w:sz w:val="24"/>
        </w:rPr>
        <w:t>İlgili yılda ÖSYS sonucunda herhangi bir yükseköğretim programına kayıt olan öğrencilerin 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w:t>
      </w:r>
      <w:r>
        <w:rPr>
          <w:color w:val="333333"/>
          <w:spacing w:val="-6"/>
          <w:sz w:val="24"/>
        </w:rPr>
        <w:t xml:space="preserve"> </w:t>
      </w:r>
      <w:r>
        <w:rPr>
          <w:color w:val="333333"/>
          <w:sz w:val="24"/>
        </w:rPr>
        <w:t>bulunmaktadır.)</w:t>
      </w:r>
      <w:proofErr w:type="gramEnd"/>
    </w:p>
    <w:p w:rsidR="0015512F" w:rsidRDefault="0015512F" w:rsidP="0015512F">
      <w:pPr>
        <w:pStyle w:val="ListeParagraf"/>
        <w:numPr>
          <w:ilvl w:val="1"/>
          <w:numId w:val="1"/>
        </w:numPr>
        <w:tabs>
          <w:tab w:val="left" w:pos="740"/>
        </w:tabs>
        <w:spacing w:line="276" w:lineRule="auto"/>
        <w:ind w:right="114" w:hanging="357"/>
        <w:rPr>
          <w:sz w:val="24"/>
        </w:rPr>
      </w:pPr>
      <w:r>
        <w:rPr>
          <w:color w:val="333333"/>
          <w:sz w:val="24"/>
        </w:rPr>
        <w:t xml:space="preserve">Birinci madde uyarınca yükseköğretim kurumlarında kayıtlı olan hazırlık sınıfı, ara sınıflar ve son sınıf </w:t>
      </w:r>
      <w:proofErr w:type="gramStart"/>
      <w:r>
        <w:rPr>
          <w:color w:val="333333"/>
          <w:sz w:val="24"/>
        </w:rPr>
        <w:t>dahil</w:t>
      </w:r>
      <w:proofErr w:type="gramEnd"/>
      <w:r>
        <w:rPr>
          <w:color w:val="333333"/>
          <w:sz w:val="24"/>
        </w:rPr>
        <w:t xml:space="preserve"> olmak üzere öğrencilerin söz konusu maddeden yararlanmasına, bu durumdaki adayların intibakının ilgili kurullar tarafından yapılmasına,</w:t>
      </w:r>
    </w:p>
    <w:p w:rsidR="0015512F" w:rsidRDefault="0015512F" w:rsidP="0015512F">
      <w:pPr>
        <w:pStyle w:val="ListeParagraf"/>
        <w:numPr>
          <w:ilvl w:val="1"/>
          <w:numId w:val="1"/>
        </w:numPr>
        <w:tabs>
          <w:tab w:val="left" w:pos="740"/>
        </w:tabs>
        <w:spacing w:before="121" w:line="276" w:lineRule="auto"/>
        <w:ind w:right="109" w:hanging="357"/>
        <w:rPr>
          <w:sz w:val="24"/>
        </w:rPr>
      </w:pPr>
      <w:r>
        <w:rPr>
          <w:color w:val="333333"/>
          <w:sz w:val="24"/>
        </w:rPr>
        <w:t xml:space="preserve">Yükseköğretim kurumlarındaki her bir diploma programının hazırlık sınıfı </w:t>
      </w:r>
      <w:proofErr w:type="gramStart"/>
      <w:r>
        <w:rPr>
          <w:color w:val="333333"/>
          <w:sz w:val="24"/>
        </w:rPr>
        <w:t>dahil</w:t>
      </w:r>
      <w:proofErr w:type="gramEnd"/>
      <w:r>
        <w:rPr>
          <w:color w:val="333333"/>
          <w:sz w:val="24"/>
        </w:rPr>
        <w:t xml:space="preserve"> her bir sınıfı için ilgili yılın Öğrenci Seçme ve Yerleştirme Sistemi Kılavuzunda öngörülen öğrenci kontenjanının %30'u kadar kontenjan</w:t>
      </w:r>
      <w:r>
        <w:rPr>
          <w:color w:val="333333"/>
          <w:spacing w:val="-2"/>
          <w:sz w:val="24"/>
        </w:rPr>
        <w:t xml:space="preserve"> </w:t>
      </w:r>
      <w:r>
        <w:rPr>
          <w:color w:val="333333"/>
          <w:sz w:val="24"/>
        </w:rPr>
        <w:t>ayrılmasına,</w:t>
      </w:r>
    </w:p>
    <w:p w:rsidR="0015512F" w:rsidRDefault="0015512F" w:rsidP="0015512F">
      <w:pPr>
        <w:pStyle w:val="ListeParagraf"/>
        <w:numPr>
          <w:ilvl w:val="1"/>
          <w:numId w:val="1"/>
        </w:numPr>
        <w:tabs>
          <w:tab w:val="left" w:pos="740"/>
        </w:tabs>
        <w:spacing w:before="118" w:line="276" w:lineRule="auto"/>
        <w:ind w:right="113" w:hanging="357"/>
        <w:rPr>
          <w:sz w:val="24"/>
        </w:rPr>
      </w:pPr>
      <w:r>
        <w:rPr>
          <w:color w:val="333333"/>
          <w:sz w:val="24"/>
        </w:rPr>
        <w:t>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w:t>
      </w:r>
    </w:p>
    <w:p w:rsidR="0015512F" w:rsidRDefault="0015512F" w:rsidP="0015512F">
      <w:pPr>
        <w:pStyle w:val="ListeParagraf"/>
        <w:numPr>
          <w:ilvl w:val="1"/>
          <w:numId w:val="1"/>
        </w:numPr>
        <w:tabs>
          <w:tab w:val="left" w:pos="740"/>
        </w:tabs>
        <w:spacing w:before="122" w:line="276" w:lineRule="auto"/>
        <w:ind w:right="115" w:hanging="357"/>
        <w:rPr>
          <w:sz w:val="24"/>
        </w:rPr>
      </w:pPr>
      <w:r>
        <w:rPr>
          <w:color w:val="333333"/>
          <w:sz w:val="24"/>
        </w:rPr>
        <w:t>Üniversitelerin ayrıca bir kontenjan ilan etmesinin gerekmediğine, başvuruların her yıl eğitim öğretim dönemi başlamadan önce Ağustos ayının 30'una kadar alınmasına, başvuruların değerlendirme işlemlerinin Eylül ayının 15'ine kadar, kayıtların da Eylül ayı sonuna kadar</w:t>
      </w:r>
      <w:r>
        <w:rPr>
          <w:color w:val="333333"/>
          <w:spacing w:val="-2"/>
          <w:sz w:val="24"/>
        </w:rPr>
        <w:t xml:space="preserve"> </w:t>
      </w:r>
      <w:r>
        <w:rPr>
          <w:color w:val="333333"/>
          <w:sz w:val="24"/>
        </w:rPr>
        <w:t>bitirilmesine,</w:t>
      </w:r>
    </w:p>
    <w:p w:rsidR="0015512F" w:rsidRDefault="0015512F" w:rsidP="0015512F">
      <w:pPr>
        <w:pStyle w:val="ListeParagraf"/>
        <w:numPr>
          <w:ilvl w:val="1"/>
          <w:numId w:val="1"/>
        </w:numPr>
        <w:tabs>
          <w:tab w:val="left" w:pos="740"/>
        </w:tabs>
        <w:spacing w:line="276" w:lineRule="auto"/>
        <w:ind w:right="117" w:hanging="357"/>
        <w:rPr>
          <w:sz w:val="24"/>
        </w:rPr>
      </w:pPr>
      <w:r>
        <w:rPr>
          <w:color w:val="333333"/>
          <w:sz w:val="24"/>
        </w:rPr>
        <w:t>Söz konusu madde uyarınca bir programa başvuran öğrenci sayısının başvurunun yapıldığı yıl için ÖSYM Kılavuzunda yayımlanan kontenjanın %30'unu geçmemesi durumunda adayların kayıtlarının yapılmasına, başvuran aday sayısının kontenjandan fazla olması durumunda ÖSYM puanı en yüksek adaydan başlamak üzere kontenjan kadar adayın kaydının</w:t>
      </w:r>
      <w:r>
        <w:rPr>
          <w:color w:val="333333"/>
          <w:spacing w:val="3"/>
          <w:sz w:val="24"/>
        </w:rPr>
        <w:t xml:space="preserve"> </w:t>
      </w:r>
      <w:r>
        <w:rPr>
          <w:color w:val="333333"/>
          <w:sz w:val="24"/>
        </w:rPr>
        <w:t>yapılmasına,</w:t>
      </w:r>
    </w:p>
    <w:p w:rsidR="0015512F" w:rsidRDefault="0015512F" w:rsidP="0015512F">
      <w:pPr>
        <w:pStyle w:val="ListeParagraf"/>
        <w:numPr>
          <w:ilvl w:val="1"/>
          <w:numId w:val="1"/>
        </w:numPr>
        <w:tabs>
          <w:tab w:val="left" w:pos="740"/>
        </w:tabs>
        <w:spacing w:line="276" w:lineRule="auto"/>
        <w:ind w:right="111" w:hanging="357"/>
        <w:rPr>
          <w:sz w:val="24"/>
        </w:rPr>
      </w:pPr>
      <w:proofErr w:type="spellStart"/>
      <w:r>
        <w:rPr>
          <w:color w:val="333333"/>
          <w:sz w:val="24"/>
        </w:rPr>
        <w:t>Önlisans</w:t>
      </w:r>
      <w:proofErr w:type="spellEnd"/>
      <w:r>
        <w:rPr>
          <w:color w:val="333333"/>
          <w:sz w:val="24"/>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w:t>
      </w:r>
      <w:r>
        <w:rPr>
          <w:color w:val="333333"/>
          <w:spacing w:val="1"/>
          <w:sz w:val="24"/>
        </w:rPr>
        <w:t xml:space="preserve"> </w:t>
      </w:r>
      <w:r>
        <w:rPr>
          <w:color w:val="333333"/>
          <w:sz w:val="24"/>
        </w:rPr>
        <w:t>sıralanmasına,</w:t>
      </w:r>
    </w:p>
    <w:p w:rsidR="0015512F" w:rsidRDefault="0015512F" w:rsidP="0015512F">
      <w:pPr>
        <w:pStyle w:val="ListeParagraf"/>
        <w:numPr>
          <w:ilvl w:val="1"/>
          <w:numId w:val="1"/>
        </w:numPr>
        <w:tabs>
          <w:tab w:val="left" w:pos="740"/>
        </w:tabs>
        <w:spacing w:line="276" w:lineRule="auto"/>
        <w:ind w:right="115" w:hanging="357"/>
        <w:rPr>
          <w:sz w:val="24"/>
        </w:rPr>
      </w:pPr>
      <w:r>
        <w:rPr>
          <w:color w:val="333333"/>
          <w:sz w:val="24"/>
        </w:rPr>
        <w:t xml:space="preserve">DGS puanı ile sadece DGS Kılavuzlarında tanımlanan </w:t>
      </w:r>
      <w:proofErr w:type="spellStart"/>
      <w:r>
        <w:rPr>
          <w:color w:val="333333"/>
          <w:sz w:val="24"/>
        </w:rPr>
        <w:t>önlisans</w:t>
      </w:r>
      <w:proofErr w:type="spellEnd"/>
      <w:r>
        <w:rPr>
          <w:color w:val="333333"/>
          <w:sz w:val="24"/>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w:t>
      </w:r>
      <w:r>
        <w:rPr>
          <w:color w:val="333333"/>
          <w:spacing w:val="-4"/>
          <w:sz w:val="24"/>
        </w:rPr>
        <w:t xml:space="preserve"> </w:t>
      </w:r>
      <w:r>
        <w:rPr>
          <w:color w:val="333333"/>
          <w:sz w:val="24"/>
        </w:rPr>
        <w:t>yapamayacağı,</w:t>
      </w:r>
    </w:p>
    <w:p w:rsidR="0015512F" w:rsidRDefault="0015512F" w:rsidP="0015512F">
      <w:pPr>
        <w:spacing w:after="0" w:line="276" w:lineRule="auto"/>
        <w:rPr>
          <w:sz w:val="24"/>
        </w:rPr>
        <w:sectPr w:rsidR="0015512F">
          <w:pgSz w:w="11910" w:h="16840"/>
          <w:pgMar w:top="1320" w:right="1160" w:bottom="280" w:left="1680" w:header="708" w:footer="708" w:gutter="0"/>
          <w:cols w:space="708"/>
        </w:sectPr>
      </w:pPr>
    </w:p>
    <w:p w:rsidR="0015512F" w:rsidRDefault="0015512F" w:rsidP="0015512F">
      <w:pPr>
        <w:pStyle w:val="ListeParagraf"/>
        <w:numPr>
          <w:ilvl w:val="1"/>
          <w:numId w:val="1"/>
        </w:numPr>
        <w:tabs>
          <w:tab w:val="left" w:pos="740"/>
        </w:tabs>
        <w:spacing w:before="72" w:line="276" w:lineRule="auto"/>
        <w:ind w:right="109" w:hanging="357"/>
        <w:rPr>
          <w:sz w:val="24"/>
        </w:rPr>
      </w:pPr>
      <w:r>
        <w:rPr>
          <w:color w:val="333333"/>
          <w:sz w:val="24"/>
        </w:rPr>
        <w:lastRenderedPageBreak/>
        <w:t xml:space="preserve">Yükseköğretim kurumlarındaki </w:t>
      </w:r>
      <w:proofErr w:type="gramStart"/>
      <w:r>
        <w:rPr>
          <w:color w:val="333333"/>
          <w:sz w:val="24"/>
        </w:rPr>
        <w:t>M.T.O</w:t>
      </w:r>
      <w:proofErr w:type="gramEnd"/>
      <w:r>
        <w:rPr>
          <w:color w:val="333333"/>
          <w:sz w:val="24"/>
        </w:rPr>
        <w:t>.K.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15512F" w:rsidRDefault="0015512F" w:rsidP="0015512F">
      <w:pPr>
        <w:pStyle w:val="ListeParagraf"/>
        <w:numPr>
          <w:ilvl w:val="1"/>
          <w:numId w:val="1"/>
        </w:numPr>
        <w:tabs>
          <w:tab w:val="left" w:pos="740"/>
        </w:tabs>
        <w:spacing w:before="121" w:line="276" w:lineRule="auto"/>
        <w:ind w:right="112" w:hanging="360"/>
        <w:rPr>
          <w:sz w:val="24"/>
        </w:rPr>
      </w:pPr>
      <w:proofErr w:type="gramStart"/>
      <w:r>
        <w:rPr>
          <w:color w:val="333333"/>
          <w:sz w:val="24"/>
        </w:rPr>
        <w:t>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 ulaşılabilecektir)</w:t>
      </w:r>
      <w:proofErr w:type="gramEnd"/>
    </w:p>
    <w:p w:rsidR="0015512F" w:rsidRDefault="0015512F" w:rsidP="0015512F">
      <w:pPr>
        <w:pStyle w:val="ListeParagraf"/>
        <w:numPr>
          <w:ilvl w:val="1"/>
          <w:numId w:val="1"/>
        </w:numPr>
        <w:tabs>
          <w:tab w:val="left" w:pos="740"/>
        </w:tabs>
        <w:spacing w:line="276" w:lineRule="auto"/>
        <w:ind w:right="476" w:hanging="357"/>
        <w:rPr>
          <w:sz w:val="24"/>
        </w:rPr>
      </w:pPr>
      <w:r>
        <w:rPr>
          <w:color w:val="333333"/>
          <w:sz w:val="24"/>
        </w:rPr>
        <w:t>Ek Madde 1 uyarınca yatay geçiş için başvuran öğrencilerin ÖSYS Kılavuzunda programa kayıt olabilmeleri için aranan özel koşulların bulunması durumunda, bu koşulları sağlamaları</w:t>
      </w:r>
      <w:r>
        <w:rPr>
          <w:color w:val="333333"/>
          <w:spacing w:val="1"/>
          <w:sz w:val="24"/>
        </w:rPr>
        <w:t xml:space="preserve"> </w:t>
      </w:r>
      <w:r>
        <w:rPr>
          <w:color w:val="333333"/>
          <w:sz w:val="24"/>
        </w:rPr>
        <w:t>gerektiğine,</w:t>
      </w:r>
    </w:p>
    <w:p w:rsidR="0015512F" w:rsidRDefault="0015512F" w:rsidP="0015512F">
      <w:pPr>
        <w:pStyle w:val="ListeParagraf"/>
        <w:numPr>
          <w:ilvl w:val="1"/>
          <w:numId w:val="1"/>
        </w:numPr>
        <w:tabs>
          <w:tab w:val="left" w:pos="740"/>
        </w:tabs>
        <w:spacing w:before="121" w:line="276" w:lineRule="auto"/>
        <w:ind w:right="117" w:hanging="357"/>
        <w:rPr>
          <w:sz w:val="24"/>
        </w:rPr>
      </w:pPr>
      <w:r>
        <w:rPr>
          <w:color w:val="333333"/>
          <w:sz w:val="24"/>
        </w:rPr>
        <w:t>Öğrencinin geçmek istediği diploma programına, öğrencinin halen öğrenim görmekte olduğu diploma programına kayıt yaptırdığı yılda öğrenci kabul edilmemişse geçilmek istenen diploma programının merkezi yerleştirme taban puanı oluşmadığından geçiş</w:t>
      </w:r>
      <w:r>
        <w:rPr>
          <w:color w:val="333333"/>
          <w:spacing w:val="2"/>
          <w:sz w:val="24"/>
        </w:rPr>
        <w:t xml:space="preserve"> </w:t>
      </w:r>
      <w:r>
        <w:rPr>
          <w:color w:val="333333"/>
          <w:sz w:val="24"/>
        </w:rPr>
        <w:t>yapılamayacağına,</w:t>
      </w:r>
    </w:p>
    <w:p w:rsidR="0015512F" w:rsidRDefault="0015512F" w:rsidP="0015512F">
      <w:pPr>
        <w:pStyle w:val="ListeParagraf"/>
        <w:numPr>
          <w:ilvl w:val="1"/>
          <w:numId w:val="1"/>
        </w:numPr>
        <w:tabs>
          <w:tab w:val="left" w:pos="740"/>
        </w:tabs>
        <w:spacing w:line="276" w:lineRule="auto"/>
        <w:ind w:hanging="357"/>
        <w:rPr>
          <w:sz w:val="24"/>
        </w:rPr>
      </w:pPr>
      <w:r>
        <w:rPr>
          <w:color w:val="333333"/>
          <w:sz w:val="24"/>
        </w:rPr>
        <w:t>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w:t>
      </w:r>
      <w:r>
        <w:rPr>
          <w:color w:val="333333"/>
          <w:spacing w:val="-4"/>
          <w:sz w:val="24"/>
        </w:rPr>
        <w:t xml:space="preserve"> </w:t>
      </w:r>
      <w:r>
        <w:rPr>
          <w:color w:val="333333"/>
          <w:sz w:val="24"/>
        </w:rPr>
        <w:t>gerektiğine,</w:t>
      </w:r>
    </w:p>
    <w:p w:rsidR="0015512F" w:rsidRDefault="0015512F" w:rsidP="0015512F">
      <w:pPr>
        <w:pStyle w:val="ListeParagraf"/>
        <w:numPr>
          <w:ilvl w:val="1"/>
          <w:numId w:val="1"/>
        </w:numPr>
        <w:tabs>
          <w:tab w:val="left" w:pos="740"/>
        </w:tabs>
        <w:spacing w:line="276" w:lineRule="auto"/>
        <w:ind w:right="113" w:hanging="357"/>
        <w:rPr>
          <w:sz w:val="24"/>
        </w:rPr>
      </w:pPr>
      <w:proofErr w:type="gramStart"/>
      <w:r>
        <w:rPr>
          <w:color w:val="333333"/>
          <w:sz w:val="24"/>
        </w:rPr>
        <w:t>Hazırlık sınıfında başarısız olan öğrencilerin de söz konusu madde kapsamında şartları sağlamaları halinde diğer yükseköğretim programlarına başvuru yapabileceklerine, ayrıca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w:t>
      </w:r>
      <w:r>
        <w:rPr>
          <w:color w:val="333333"/>
          <w:spacing w:val="3"/>
          <w:sz w:val="24"/>
        </w:rPr>
        <w:t xml:space="preserve"> </w:t>
      </w:r>
      <w:r>
        <w:rPr>
          <w:color w:val="333333"/>
          <w:sz w:val="24"/>
        </w:rPr>
        <w:t>yararlanabileceklerine,</w:t>
      </w:r>
      <w:proofErr w:type="gramEnd"/>
    </w:p>
    <w:p w:rsidR="0015512F" w:rsidRDefault="0015512F" w:rsidP="0015512F">
      <w:pPr>
        <w:pStyle w:val="ListeParagraf"/>
        <w:numPr>
          <w:ilvl w:val="1"/>
          <w:numId w:val="1"/>
        </w:numPr>
        <w:tabs>
          <w:tab w:val="left" w:pos="740"/>
        </w:tabs>
        <w:spacing w:before="121" w:line="276" w:lineRule="auto"/>
        <w:ind w:hanging="357"/>
        <w:rPr>
          <w:sz w:val="24"/>
        </w:rPr>
      </w:pPr>
      <w:r>
        <w:rPr>
          <w:color w:val="333333"/>
          <w:sz w:val="24"/>
        </w:rPr>
        <w:t>Başvuruların değerlendirilmesinde sadece öğrencinin kayıtlı olduğu programa yerleştiği yıldaki ÖSYM merkezi yerleştirme puanlarının dikkate alınmasına, başarı vb. şart</w:t>
      </w:r>
      <w:r>
        <w:rPr>
          <w:color w:val="333333"/>
          <w:spacing w:val="-1"/>
          <w:sz w:val="24"/>
        </w:rPr>
        <w:t xml:space="preserve"> </w:t>
      </w:r>
      <w:r>
        <w:rPr>
          <w:color w:val="333333"/>
          <w:sz w:val="24"/>
        </w:rPr>
        <w:t>aranmamasına,</w:t>
      </w:r>
    </w:p>
    <w:p w:rsidR="0015512F" w:rsidRDefault="0015512F" w:rsidP="0015512F">
      <w:pPr>
        <w:pStyle w:val="ListeParagraf"/>
        <w:numPr>
          <w:ilvl w:val="1"/>
          <w:numId w:val="1"/>
        </w:numPr>
        <w:tabs>
          <w:tab w:val="left" w:pos="730"/>
        </w:tabs>
        <w:spacing w:before="119" w:line="276" w:lineRule="auto"/>
        <w:ind w:left="730" w:hanging="348"/>
        <w:rPr>
          <w:sz w:val="24"/>
        </w:rPr>
      </w:pPr>
      <w:r>
        <w:rPr>
          <w:color w:val="333333"/>
          <w:sz w:val="24"/>
        </w:rPr>
        <w:t>Söz konusu ilkeler uyarınca Vakıf yükseköğretim kurumlarına yatay geçiş işlemlerinde öğrencilerin ücretli programlara yatay geçiş yapabileceğine, burs verip vermeme kararının ilgili yükseköğretim kurumlarının yetkisinde</w:t>
      </w:r>
      <w:r>
        <w:rPr>
          <w:color w:val="333333"/>
          <w:spacing w:val="-5"/>
          <w:sz w:val="24"/>
        </w:rPr>
        <w:t xml:space="preserve"> </w:t>
      </w:r>
      <w:r>
        <w:rPr>
          <w:color w:val="333333"/>
          <w:sz w:val="24"/>
        </w:rPr>
        <w:t>olduğuna,</w:t>
      </w:r>
    </w:p>
    <w:p w:rsidR="0015512F" w:rsidRDefault="0015512F" w:rsidP="0015512F">
      <w:pPr>
        <w:tabs>
          <w:tab w:val="left" w:pos="730"/>
        </w:tabs>
        <w:spacing w:before="119" w:line="276" w:lineRule="auto"/>
        <w:jc w:val="both"/>
        <w:rPr>
          <w:sz w:val="24"/>
        </w:rPr>
      </w:pPr>
    </w:p>
    <w:p w:rsidR="0015512F" w:rsidRDefault="0015512F" w:rsidP="0015512F">
      <w:pPr>
        <w:tabs>
          <w:tab w:val="left" w:pos="730"/>
        </w:tabs>
        <w:spacing w:before="119" w:line="276" w:lineRule="auto"/>
        <w:jc w:val="both"/>
        <w:rPr>
          <w:rFonts w:ascii="Times New Roman" w:hAnsi="Times New Roman" w:cs="Times New Roman"/>
          <w:sz w:val="24"/>
          <w:szCs w:val="24"/>
        </w:rPr>
      </w:pPr>
      <w:r>
        <w:rPr>
          <w:sz w:val="24"/>
        </w:rPr>
        <w:tab/>
      </w:r>
      <w:proofErr w:type="gramStart"/>
      <w:r>
        <w:rPr>
          <w:rFonts w:ascii="Times New Roman" w:hAnsi="Times New Roman" w:cs="Times New Roman"/>
          <w:sz w:val="24"/>
          <w:szCs w:val="24"/>
        </w:rPr>
        <w:t>Bilgilerinizi  rica</w:t>
      </w:r>
      <w:proofErr w:type="gramEnd"/>
      <w:r>
        <w:rPr>
          <w:rFonts w:ascii="Times New Roman" w:hAnsi="Times New Roman" w:cs="Times New Roman"/>
          <w:sz w:val="24"/>
          <w:szCs w:val="24"/>
        </w:rPr>
        <w:t xml:space="preserve"> ederim.</w:t>
      </w:r>
      <w:bookmarkStart w:id="0" w:name="_GoBack"/>
      <w:bookmarkEnd w:id="0"/>
    </w:p>
    <w:sectPr w:rsidR="00155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11EC7"/>
    <w:multiLevelType w:val="hybridMultilevel"/>
    <w:tmpl w:val="BF8615E4"/>
    <w:lvl w:ilvl="0" w:tplc="2E8E7674">
      <w:start w:val="1"/>
      <w:numFmt w:val="upperLetter"/>
      <w:lvlText w:val="%1."/>
      <w:lvlJc w:val="left"/>
      <w:pPr>
        <w:ind w:left="737" w:hanging="294"/>
      </w:pPr>
      <w:rPr>
        <w:rFonts w:ascii="Times New Roman" w:eastAsia="Times New Roman" w:hAnsi="Times New Roman" w:cs="Times New Roman" w:hint="default"/>
        <w:color w:val="333333"/>
        <w:spacing w:val="-1"/>
        <w:w w:val="100"/>
        <w:sz w:val="24"/>
        <w:szCs w:val="24"/>
        <w:lang w:val="tr-TR" w:eastAsia="tr-TR" w:bidi="tr-TR"/>
      </w:rPr>
    </w:lvl>
    <w:lvl w:ilvl="1" w:tplc="D442A5A0">
      <w:start w:val="1"/>
      <w:numFmt w:val="decimal"/>
      <w:lvlText w:val="%2."/>
      <w:lvlJc w:val="left"/>
      <w:pPr>
        <w:ind w:left="739" w:hanging="358"/>
      </w:pPr>
      <w:rPr>
        <w:rFonts w:ascii="Times New Roman" w:eastAsia="Times New Roman" w:hAnsi="Times New Roman" w:cs="Times New Roman" w:hint="default"/>
        <w:color w:val="333333"/>
        <w:spacing w:val="-27"/>
        <w:w w:val="100"/>
        <w:sz w:val="24"/>
        <w:szCs w:val="24"/>
        <w:lang w:val="tr-TR" w:eastAsia="tr-TR" w:bidi="tr-TR"/>
      </w:rPr>
    </w:lvl>
    <w:lvl w:ilvl="2" w:tplc="55DAFE88">
      <w:numFmt w:val="bullet"/>
      <w:lvlText w:val="•"/>
      <w:lvlJc w:val="left"/>
      <w:pPr>
        <w:ind w:left="2405" w:hanging="358"/>
      </w:pPr>
      <w:rPr>
        <w:lang w:val="tr-TR" w:eastAsia="tr-TR" w:bidi="tr-TR"/>
      </w:rPr>
    </w:lvl>
    <w:lvl w:ilvl="3" w:tplc="4D006CEC">
      <w:numFmt w:val="bullet"/>
      <w:lvlText w:val="•"/>
      <w:lvlJc w:val="left"/>
      <w:pPr>
        <w:ind w:left="3237" w:hanging="358"/>
      </w:pPr>
      <w:rPr>
        <w:lang w:val="tr-TR" w:eastAsia="tr-TR" w:bidi="tr-TR"/>
      </w:rPr>
    </w:lvl>
    <w:lvl w:ilvl="4" w:tplc="0CB24D8E">
      <w:numFmt w:val="bullet"/>
      <w:lvlText w:val="•"/>
      <w:lvlJc w:val="left"/>
      <w:pPr>
        <w:ind w:left="4070" w:hanging="358"/>
      </w:pPr>
      <w:rPr>
        <w:lang w:val="tr-TR" w:eastAsia="tr-TR" w:bidi="tr-TR"/>
      </w:rPr>
    </w:lvl>
    <w:lvl w:ilvl="5" w:tplc="CF08DAA0">
      <w:numFmt w:val="bullet"/>
      <w:lvlText w:val="•"/>
      <w:lvlJc w:val="left"/>
      <w:pPr>
        <w:ind w:left="4903" w:hanging="358"/>
      </w:pPr>
      <w:rPr>
        <w:lang w:val="tr-TR" w:eastAsia="tr-TR" w:bidi="tr-TR"/>
      </w:rPr>
    </w:lvl>
    <w:lvl w:ilvl="6" w:tplc="EA541766">
      <w:numFmt w:val="bullet"/>
      <w:lvlText w:val="•"/>
      <w:lvlJc w:val="left"/>
      <w:pPr>
        <w:ind w:left="5735" w:hanging="358"/>
      </w:pPr>
      <w:rPr>
        <w:lang w:val="tr-TR" w:eastAsia="tr-TR" w:bidi="tr-TR"/>
      </w:rPr>
    </w:lvl>
    <w:lvl w:ilvl="7" w:tplc="F01AD190">
      <w:numFmt w:val="bullet"/>
      <w:lvlText w:val="•"/>
      <w:lvlJc w:val="left"/>
      <w:pPr>
        <w:ind w:left="6568" w:hanging="358"/>
      </w:pPr>
      <w:rPr>
        <w:lang w:val="tr-TR" w:eastAsia="tr-TR" w:bidi="tr-TR"/>
      </w:rPr>
    </w:lvl>
    <w:lvl w:ilvl="8" w:tplc="3FC02790">
      <w:numFmt w:val="bullet"/>
      <w:lvlText w:val="•"/>
      <w:lvlJc w:val="left"/>
      <w:pPr>
        <w:ind w:left="7401" w:hanging="358"/>
      </w:pPr>
      <w:rPr>
        <w:lang w:val="tr-TR" w:eastAsia="tr-TR" w:bidi="tr-TR"/>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2F"/>
    <w:rsid w:val="0015512F"/>
    <w:rsid w:val="00166B5A"/>
    <w:rsid w:val="00F32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3696E-78F8-4D86-9F7B-75454BD1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2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15512F"/>
    <w:pPr>
      <w:widowControl w:val="0"/>
      <w:autoSpaceDE w:val="0"/>
      <w:autoSpaceDN w:val="0"/>
      <w:spacing w:before="120" w:after="0" w:line="240" w:lineRule="auto"/>
      <w:ind w:left="739" w:hanging="357"/>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semiHidden/>
    <w:rsid w:val="0015512F"/>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15512F"/>
    <w:pPr>
      <w:widowControl w:val="0"/>
      <w:autoSpaceDE w:val="0"/>
      <w:autoSpaceDN w:val="0"/>
      <w:spacing w:before="120" w:after="0" w:line="240" w:lineRule="auto"/>
      <w:ind w:left="739" w:right="116" w:hanging="357"/>
      <w:jc w:val="both"/>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Kotan</dc:creator>
  <cp:keywords/>
  <dc:description/>
  <cp:lastModifiedBy>Seda Kotan</cp:lastModifiedBy>
  <cp:revision>1</cp:revision>
  <dcterms:created xsi:type="dcterms:W3CDTF">2018-06-19T07:57:00Z</dcterms:created>
  <dcterms:modified xsi:type="dcterms:W3CDTF">2018-06-19T07:58:00Z</dcterms:modified>
</cp:coreProperties>
</file>