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716353">
            <w:pPr>
              <w:jc w:val="center"/>
              <w:rPr>
                <w:b/>
                <w:bCs/>
                <w:color w:val="000000"/>
                <w:lang w:eastAsia="tr-TR"/>
              </w:rPr>
            </w:pPr>
            <w:bookmarkStart w:id="0" w:name="_Toc385951693"/>
          </w:p>
          <w:p w:rsidR="005850AD" w:rsidRDefault="005850AD" w:rsidP="00716353">
            <w:pPr>
              <w:jc w:val="center"/>
              <w:rPr>
                <w:b/>
                <w:bCs/>
                <w:color w:val="000000"/>
                <w:lang w:eastAsia="tr-TR"/>
              </w:rPr>
            </w:pPr>
          </w:p>
          <w:p w:rsidR="0064581A" w:rsidRPr="0064581A" w:rsidRDefault="0064581A" w:rsidP="00716353">
            <w:pPr>
              <w:jc w:val="center"/>
              <w:rPr>
                <w:b/>
                <w:bCs/>
                <w:color w:val="000000"/>
                <w:lang w:eastAsia="tr-TR"/>
              </w:rPr>
            </w:pPr>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716353">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716353">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166C77">
        <w:trPr>
          <w:trHeight w:val="60"/>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166C77" w:rsidRPr="00716353" w:rsidRDefault="00166C77" w:rsidP="00166C77">
            <w:pPr>
              <w:spacing w:after="1" w:line="256" w:lineRule="auto"/>
              <w:ind w:left="447" w:right="506" w:hanging="10"/>
              <w:jc w:val="center"/>
              <w:rPr>
                <w:rFonts w:eastAsia="Georgia"/>
                <w:color w:val="000000"/>
                <w:lang w:eastAsia="tr-TR"/>
              </w:rPr>
            </w:pPr>
            <w:r w:rsidRPr="00716353">
              <w:rPr>
                <w:rFonts w:eastAsia="Georgia"/>
                <w:b/>
                <w:color w:val="000000"/>
                <w:lang w:eastAsia="tr-TR"/>
              </w:rPr>
              <w:t xml:space="preserve">LİSANSÜSTÜ EĞİTİM-ÖĞRETİM YÖNETMELİĞİ </w:t>
            </w:r>
          </w:p>
          <w:p w:rsidR="00166C77" w:rsidRPr="00166C77" w:rsidRDefault="00166C77" w:rsidP="00166C77">
            <w:pPr>
              <w:spacing w:after="6" w:line="256" w:lineRule="auto"/>
              <w:ind w:left="470"/>
              <w:rPr>
                <w:rFonts w:ascii="Georgia" w:eastAsia="Georgia" w:hAnsi="Georgia" w:cs="Georgia"/>
                <w:color w:val="000000"/>
                <w:sz w:val="22"/>
                <w:szCs w:val="22"/>
                <w:lang w:eastAsia="tr-TR"/>
              </w:rPr>
            </w:pPr>
          </w:p>
          <w:p w:rsidR="009961E7" w:rsidRPr="006171ED"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1A2718" w:rsidRDefault="001A2718" w:rsidP="00C92982">
            <w:pPr>
              <w:rPr>
                <w:b/>
                <w:bCs/>
                <w:color w:val="000000"/>
                <w:lang w:eastAsia="tr-TR"/>
              </w:rPr>
            </w:pPr>
          </w:p>
          <w:p w:rsidR="001A2718" w:rsidRDefault="001A2718" w:rsidP="00C92982">
            <w:pPr>
              <w:rPr>
                <w:b/>
                <w:bCs/>
                <w:color w:val="000000"/>
                <w:lang w:eastAsia="tr-TR"/>
              </w:rPr>
            </w:pPr>
          </w:p>
          <w:p w:rsidR="001A2718" w:rsidRPr="0064581A" w:rsidRDefault="001A2718"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bookmarkEnd w:id="0"/>
    <w:p w:rsidR="00166C77" w:rsidRPr="00166C77" w:rsidRDefault="00166C77" w:rsidP="00166C77">
      <w:pPr>
        <w:spacing w:line="240" w:lineRule="atLeast"/>
        <w:jc w:val="center"/>
        <w:rPr>
          <w:b/>
          <w:lang w:eastAsia="tr-TR"/>
        </w:rPr>
      </w:pPr>
      <w:r w:rsidRPr="00166C77">
        <w:rPr>
          <w:b/>
          <w:lang w:eastAsia="tr-TR"/>
        </w:rPr>
        <w:lastRenderedPageBreak/>
        <w:t xml:space="preserve">KIBRIS SOSYAL BİLİMLER ÜNİVERSİTESİ LİSANSÜSTÜ EĞİTİM-ÖĞRETİM YÖNETMELİĞİ </w:t>
      </w:r>
    </w:p>
    <w:p w:rsidR="00166C77" w:rsidRDefault="00166C77" w:rsidP="00166C77">
      <w:pPr>
        <w:spacing w:line="240" w:lineRule="atLeast"/>
        <w:rPr>
          <w:b/>
          <w:lang w:eastAsia="tr-TR"/>
        </w:rPr>
      </w:pPr>
    </w:p>
    <w:p w:rsidR="00166C77" w:rsidRDefault="00166C77" w:rsidP="00BE5EC2">
      <w:pPr>
        <w:spacing w:line="240" w:lineRule="atLeast"/>
        <w:jc w:val="center"/>
        <w:rPr>
          <w:b/>
          <w:lang w:eastAsia="tr-TR"/>
        </w:rPr>
      </w:pPr>
    </w:p>
    <w:p w:rsidR="001A2718" w:rsidRPr="00BE5EC2" w:rsidRDefault="001A2718" w:rsidP="001A2718">
      <w:pPr>
        <w:spacing w:line="240" w:lineRule="atLeast"/>
        <w:jc w:val="center"/>
        <w:rPr>
          <w:b/>
          <w:bCs/>
          <w:color w:val="000000"/>
          <w:lang w:eastAsia="tr-TR"/>
        </w:rPr>
      </w:pPr>
      <w:r w:rsidRPr="00BE5EC2">
        <w:rPr>
          <w:b/>
          <w:bCs/>
          <w:color w:val="000000"/>
          <w:lang w:eastAsia="tr-TR"/>
        </w:rPr>
        <w:t>BİRİNCİ BÖLÜM</w:t>
      </w:r>
    </w:p>
    <w:p w:rsidR="001A2718" w:rsidRDefault="001A2718" w:rsidP="001A2718">
      <w:pPr>
        <w:spacing w:after="85" w:line="240" w:lineRule="atLeast"/>
        <w:jc w:val="center"/>
        <w:rPr>
          <w:b/>
          <w:bCs/>
          <w:color w:val="000000"/>
          <w:lang w:eastAsia="tr-TR"/>
        </w:rPr>
      </w:pPr>
      <w:r w:rsidRPr="00166C77">
        <w:rPr>
          <w:b/>
          <w:bCs/>
          <w:color w:val="000000"/>
          <w:lang w:eastAsia="tr-TR"/>
        </w:rPr>
        <w:t>Amaç, Kapsam</w:t>
      </w:r>
      <w:r>
        <w:rPr>
          <w:b/>
          <w:bCs/>
          <w:color w:val="000000"/>
          <w:lang w:eastAsia="tr-TR"/>
        </w:rPr>
        <w:t>, Dayanak</w:t>
      </w:r>
      <w:r w:rsidRPr="00166C77">
        <w:rPr>
          <w:b/>
          <w:bCs/>
          <w:color w:val="000000"/>
          <w:lang w:eastAsia="tr-TR"/>
        </w:rPr>
        <w:t xml:space="preserve"> ve Tanımlar</w:t>
      </w:r>
    </w:p>
    <w:p w:rsidR="001A2718" w:rsidRPr="00BE5EC2" w:rsidRDefault="001A2718" w:rsidP="001A2718">
      <w:pPr>
        <w:spacing w:after="85" w:line="240" w:lineRule="atLeast"/>
        <w:jc w:val="center"/>
        <w:rPr>
          <w:sz w:val="20"/>
        </w:rPr>
      </w:pPr>
    </w:p>
    <w:p w:rsidR="001A2718" w:rsidRDefault="001A2718" w:rsidP="001A2718">
      <w:pPr>
        <w:pStyle w:val="Heading4"/>
        <w:spacing w:before="0" w:line="276" w:lineRule="auto"/>
        <w:rPr>
          <w:b w:val="0"/>
          <w:sz w:val="24"/>
          <w:szCs w:val="24"/>
        </w:rPr>
      </w:pPr>
      <w:r w:rsidRPr="00622BD3">
        <w:rPr>
          <w:b w:val="0"/>
          <w:sz w:val="24"/>
          <w:szCs w:val="24"/>
        </w:rPr>
        <w:t>Madde 1</w:t>
      </w:r>
      <w:r>
        <w:rPr>
          <w:b w:val="0"/>
          <w:sz w:val="24"/>
          <w:szCs w:val="24"/>
        </w:rPr>
        <w:t xml:space="preserve">: Amaç </w:t>
      </w:r>
    </w:p>
    <w:p w:rsidR="001A2718" w:rsidRDefault="001A2718" w:rsidP="001A2718">
      <w:pPr>
        <w:pStyle w:val="Heading4"/>
        <w:spacing w:before="0" w:line="276" w:lineRule="auto"/>
        <w:rPr>
          <w:b w:val="0"/>
          <w:sz w:val="24"/>
          <w:szCs w:val="24"/>
        </w:rPr>
      </w:pPr>
      <w:r>
        <w:rPr>
          <w:b w:val="0"/>
          <w:sz w:val="24"/>
          <w:szCs w:val="24"/>
        </w:rPr>
        <w:t>Madde 2: Kapsam</w:t>
      </w:r>
    </w:p>
    <w:p w:rsidR="001A2718" w:rsidRPr="00716353" w:rsidRDefault="001A2718" w:rsidP="001A2718">
      <w:r>
        <w:t>Madde 3: Dayanak</w:t>
      </w:r>
    </w:p>
    <w:p w:rsidR="001A2718" w:rsidRPr="00622BD3" w:rsidRDefault="001A2718" w:rsidP="001A2718">
      <w:pPr>
        <w:pStyle w:val="Heading4"/>
        <w:spacing w:before="0" w:line="276" w:lineRule="auto"/>
        <w:rPr>
          <w:b w:val="0"/>
          <w:sz w:val="24"/>
          <w:szCs w:val="24"/>
        </w:rPr>
      </w:pPr>
      <w:r>
        <w:rPr>
          <w:b w:val="0"/>
          <w:sz w:val="24"/>
          <w:szCs w:val="24"/>
        </w:rPr>
        <w:t xml:space="preserve">Madde 4: Tanımlar </w:t>
      </w:r>
    </w:p>
    <w:p w:rsidR="001A2718" w:rsidRDefault="001A2718" w:rsidP="001A2718"/>
    <w:p w:rsidR="001A2718" w:rsidRPr="00BE5EC2" w:rsidRDefault="001A2718" w:rsidP="001A2718">
      <w:pPr>
        <w:spacing w:before="85" w:line="240" w:lineRule="atLeast"/>
        <w:jc w:val="center"/>
        <w:rPr>
          <w:b/>
          <w:bCs/>
          <w:color w:val="000000"/>
          <w:lang w:eastAsia="tr-TR"/>
        </w:rPr>
      </w:pPr>
      <w:r w:rsidRPr="00BE5EC2">
        <w:rPr>
          <w:b/>
          <w:bCs/>
          <w:color w:val="000000"/>
          <w:lang w:eastAsia="tr-TR"/>
        </w:rPr>
        <w:t xml:space="preserve">       İKİNCİ BÖLÜM</w:t>
      </w:r>
    </w:p>
    <w:p w:rsidR="001A2718" w:rsidRDefault="001A2718" w:rsidP="001A2718">
      <w:pPr>
        <w:pStyle w:val="2-ortabaslk"/>
        <w:spacing w:before="0" w:beforeAutospacing="0" w:after="0" w:afterAutospacing="0"/>
        <w:jc w:val="center"/>
        <w:rPr>
          <w:b/>
          <w:bCs/>
          <w:color w:val="000000"/>
          <w:lang w:eastAsia="tr-TR"/>
        </w:rPr>
      </w:pPr>
      <w:r>
        <w:rPr>
          <w:b/>
          <w:bCs/>
          <w:color w:val="000000"/>
          <w:lang w:eastAsia="tr-TR"/>
        </w:rPr>
        <w:t xml:space="preserve">        </w:t>
      </w:r>
      <w:r w:rsidRPr="00166C77">
        <w:rPr>
          <w:b/>
          <w:bCs/>
          <w:color w:val="000000"/>
          <w:lang w:eastAsia="tr-TR"/>
        </w:rPr>
        <w:t>Genel Esaslar</w:t>
      </w:r>
    </w:p>
    <w:p w:rsidR="001A2718" w:rsidRPr="006171ED" w:rsidRDefault="001A2718" w:rsidP="001A2718">
      <w:pPr>
        <w:pStyle w:val="2-ortabaslk"/>
        <w:spacing w:before="0" w:beforeAutospacing="0" w:after="0" w:afterAutospacing="0"/>
        <w:jc w:val="center"/>
        <w:rPr>
          <w:b/>
          <w:lang w:eastAsia="tr-TR"/>
        </w:rPr>
      </w:pPr>
    </w:p>
    <w:p w:rsidR="001A2718" w:rsidRDefault="001A2718" w:rsidP="001A2718">
      <w:r w:rsidRPr="00913EA1">
        <w:t>Madde 5</w:t>
      </w:r>
      <w:r>
        <w:t>:</w:t>
      </w:r>
      <w:r w:rsidRPr="00913EA1">
        <w:t xml:space="preserve"> Öğrenci Kabulü</w:t>
      </w:r>
    </w:p>
    <w:p w:rsidR="001A2718" w:rsidRDefault="001A2718" w:rsidP="001A2718">
      <w:r w:rsidRPr="00913EA1">
        <w:t>Madde 6</w:t>
      </w:r>
      <w:r>
        <w:t>:</w:t>
      </w:r>
      <w:r w:rsidRPr="00913EA1">
        <w:t>Tezli ve Tezsiz Yüksek Lisans Programlarına Başvuru</w:t>
      </w:r>
      <w:r>
        <w:t xml:space="preserve"> </w:t>
      </w:r>
      <w:r w:rsidRPr="00913EA1">
        <w:t>ve Öğrenci Kabulü</w:t>
      </w:r>
    </w:p>
    <w:p w:rsidR="001A2718" w:rsidRDefault="001A2718" w:rsidP="001A2718">
      <w:r w:rsidRPr="00913EA1">
        <w:t>Madde 7</w:t>
      </w:r>
      <w:r>
        <w:t>:</w:t>
      </w:r>
      <w:r w:rsidRPr="00913EA1">
        <w:t xml:space="preserve"> Doktora Programlarına Başvuru</w:t>
      </w:r>
      <w:r>
        <w:t xml:space="preserve"> </w:t>
      </w:r>
      <w:r w:rsidRPr="00913EA1">
        <w:t>ve Öğrenci Kabulü</w:t>
      </w:r>
    </w:p>
    <w:p w:rsidR="001A2718" w:rsidRDefault="001A2718" w:rsidP="001A2718">
      <w:r>
        <w:t xml:space="preserve">Madde 8: </w:t>
      </w:r>
      <w:r w:rsidRPr="00166C77">
        <w:t>Bilimsel Hazırlık Programına Öğrenci Kabulü</w:t>
      </w:r>
    </w:p>
    <w:p w:rsidR="001A2718" w:rsidRDefault="001A2718" w:rsidP="001A2718">
      <w:r>
        <w:t xml:space="preserve">Madde 9: </w:t>
      </w:r>
      <w:r w:rsidRPr="00166C77">
        <w:t>Özel Öğrenci Kabulü</w:t>
      </w:r>
    </w:p>
    <w:p w:rsidR="001A2718" w:rsidRDefault="001A2718" w:rsidP="001A2718">
      <w:r>
        <w:t>Madde 10:</w:t>
      </w:r>
      <w:r w:rsidRPr="00166C77">
        <w:t>Yatay Geçiş Yoluyla Öğrenci Kabulü</w:t>
      </w:r>
    </w:p>
    <w:p w:rsidR="001A2718" w:rsidRDefault="001A2718" w:rsidP="001A2718">
      <w:r>
        <w:t xml:space="preserve">Madde 11: </w:t>
      </w:r>
      <w:r w:rsidRPr="00E315F0">
        <w:t>Kredi ve Not Transferleri</w:t>
      </w:r>
    </w:p>
    <w:p w:rsidR="001A2718" w:rsidRDefault="001A2718" w:rsidP="001A2718">
      <w:r>
        <w:t>Madde 12:</w:t>
      </w:r>
      <w:r w:rsidRPr="00166C77">
        <w:t xml:space="preserve"> Lisansüstü Programlara Başvuru</w:t>
      </w:r>
    </w:p>
    <w:p w:rsidR="001A2718" w:rsidRDefault="001A2718" w:rsidP="001A2718">
      <w:r>
        <w:t>Madde 13: Muafiyetler</w:t>
      </w:r>
    </w:p>
    <w:p w:rsidR="001A2718" w:rsidRDefault="001A2718" w:rsidP="001A2718">
      <w:r>
        <w:t xml:space="preserve">Madde 14: </w:t>
      </w:r>
      <w:r w:rsidRPr="00166C77">
        <w:t>Başvuruların Değerlendirilmesi</w:t>
      </w:r>
    </w:p>
    <w:p w:rsidR="001A2718" w:rsidRDefault="001A2718" w:rsidP="001A2718">
      <w:pPr>
        <w:jc w:val="center"/>
        <w:rPr>
          <w:b/>
        </w:rPr>
      </w:pPr>
    </w:p>
    <w:p w:rsidR="001A2718" w:rsidRPr="0040705E" w:rsidRDefault="001A2718" w:rsidP="001A2718">
      <w:pPr>
        <w:jc w:val="center"/>
        <w:rPr>
          <w:b/>
        </w:rPr>
      </w:pPr>
      <w:r w:rsidRPr="0040705E">
        <w:rPr>
          <w:b/>
        </w:rPr>
        <w:t>ÜÇÜNCÜ BÖLÜM</w:t>
      </w:r>
    </w:p>
    <w:p w:rsidR="001A2718" w:rsidRDefault="001A2718" w:rsidP="001A2718">
      <w:pPr>
        <w:jc w:val="center"/>
        <w:rPr>
          <w:b/>
          <w:highlight w:val="yellow"/>
        </w:rPr>
      </w:pPr>
      <w:r w:rsidRPr="0040705E">
        <w:rPr>
          <w:b/>
        </w:rPr>
        <w:t xml:space="preserve">Kayıt </w:t>
      </w:r>
      <w:r>
        <w:rPr>
          <w:b/>
        </w:rPr>
        <w:t>İşlemleri</w:t>
      </w:r>
      <w:r w:rsidRPr="0040705E">
        <w:rPr>
          <w:b/>
        </w:rPr>
        <w:t xml:space="preserve"> ve Eğitim-Öğretime İlişkin Esaslar</w:t>
      </w:r>
    </w:p>
    <w:p w:rsidR="001A2718" w:rsidRDefault="001A2718" w:rsidP="001A2718"/>
    <w:p w:rsidR="001A2718" w:rsidRDefault="001A2718" w:rsidP="001A2718">
      <w:r w:rsidRPr="00E315F0">
        <w:t>Madde 15</w:t>
      </w:r>
      <w:r>
        <w:t>:</w:t>
      </w:r>
      <w:r w:rsidRPr="00E315F0">
        <w:t xml:space="preserve"> Lisansüstü Programlara Kayıt </w:t>
      </w:r>
      <w:r>
        <w:t>v</w:t>
      </w:r>
      <w:r w:rsidRPr="00E315F0">
        <w:t>e Kayıt Yenileme</w:t>
      </w:r>
    </w:p>
    <w:p w:rsidR="001A2718" w:rsidRDefault="001A2718" w:rsidP="001A2718">
      <w:r>
        <w:t>Madde 16:</w:t>
      </w:r>
      <w:r w:rsidRPr="00166C77">
        <w:t xml:space="preserve"> Kayıt Yenileme</w:t>
      </w:r>
    </w:p>
    <w:p w:rsidR="001A2718" w:rsidRDefault="001A2718" w:rsidP="001A2718">
      <w:r w:rsidRPr="002331B4">
        <w:t>Madde 17</w:t>
      </w:r>
      <w:r>
        <w:t>:</w:t>
      </w:r>
      <w:r w:rsidRPr="002331B4">
        <w:t xml:space="preserve"> Öğretim yılı</w:t>
      </w:r>
    </w:p>
    <w:p w:rsidR="001A2718" w:rsidRDefault="001A2718" w:rsidP="001A2718">
      <w:r w:rsidRPr="002331B4">
        <w:t>Madde 18</w:t>
      </w:r>
      <w:r>
        <w:t>:</w:t>
      </w:r>
      <w:r w:rsidRPr="002331B4">
        <w:t xml:space="preserve"> Devam Zorunluluğu</w:t>
      </w:r>
    </w:p>
    <w:p w:rsidR="001A2718" w:rsidRDefault="001A2718" w:rsidP="001A2718">
      <w:r w:rsidRPr="00AA22EB">
        <w:t>Madde 19</w:t>
      </w:r>
      <w:r>
        <w:t>:</w:t>
      </w:r>
      <w:r w:rsidRPr="00AA22EB">
        <w:t xml:space="preserve"> Öğrenim Haklarının Saklı Tutulması</w:t>
      </w:r>
    </w:p>
    <w:p w:rsidR="001A2718" w:rsidRDefault="001A2718" w:rsidP="001A2718">
      <w:r w:rsidRPr="00AA22EB">
        <w:t>Madde 20</w:t>
      </w:r>
      <w:r>
        <w:t>:</w:t>
      </w:r>
      <w:r w:rsidRPr="00AA22EB">
        <w:t xml:space="preserve"> Kayıt Silme</w:t>
      </w:r>
    </w:p>
    <w:p w:rsidR="001A2718" w:rsidRDefault="001A2718" w:rsidP="001A2718">
      <w:r w:rsidRPr="00290C00">
        <w:t>Madde 21</w:t>
      </w:r>
      <w:r>
        <w:t>:</w:t>
      </w:r>
      <w:r w:rsidRPr="00290C00">
        <w:t xml:space="preserve"> Sınavlar ve Değerlendirme Esasları</w:t>
      </w:r>
    </w:p>
    <w:p w:rsidR="001A2718" w:rsidRDefault="001A2718" w:rsidP="001A2718">
      <w:r w:rsidRPr="00290C00">
        <w:t>Madde 22</w:t>
      </w:r>
      <w:r>
        <w:t>:</w:t>
      </w:r>
      <w:r w:rsidRPr="00290C00">
        <w:t xml:space="preserve"> Başarının Değerlendirilmesi</w:t>
      </w:r>
    </w:p>
    <w:p w:rsidR="001A2718" w:rsidRDefault="001A2718" w:rsidP="001A2718">
      <w:pPr>
        <w:spacing w:line="240" w:lineRule="atLeast"/>
      </w:pPr>
      <w:r w:rsidRPr="00892C45">
        <w:t>Madde 23</w:t>
      </w:r>
      <w:r>
        <w:t>:</w:t>
      </w:r>
      <w:r w:rsidRPr="00892C45">
        <w:t xml:space="preserve"> Sınavlara İtiraz</w:t>
      </w:r>
    </w:p>
    <w:p w:rsidR="001A2718" w:rsidRDefault="001A2718" w:rsidP="001A2718">
      <w:pPr>
        <w:spacing w:line="240" w:lineRule="atLeast"/>
        <w:rPr>
          <w:b/>
          <w:bCs/>
          <w:color w:val="000000"/>
          <w:lang w:eastAsia="tr-TR"/>
        </w:rPr>
      </w:pPr>
      <w:r w:rsidRPr="00892C45">
        <w:t>Madde 2</w:t>
      </w:r>
      <w:r>
        <w:t>4:</w:t>
      </w:r>
      <w:r w:rsidRPr="00892C45">
        <w:t xml:space="preserve"> Mezuniyet Koşulları, Tarihi ve Geçici Mezuniyet Belgesi</w:t>
      </w:r>
    </w:p>
    <w:p w:rsidR="001A2718" w:rsidRDefault="001A2718" w:rsidP="001A2718">
      <w:pPr>
        <w:jc w:val="center"/>
        <w:rPr>
          <w:b/>
          <w:bCs/>
          <w:color w:val="000000"/>
          <w:lang w:eastAsia="tr-TR"/>
        </w:rPr>
      </w:pPr>
    </w:p>
    <w:p w:rsidR="001A2718" w:rsidRPr="006171ED" w:rsidRDefault="001A2718" w:rsidP="001A2718">
      <w:pPr>
        <w:spacing w:before="85" w:line="240" w:lineRule="atLeast"/>
        <w:jc w:val="center"/>
        <w:rPr>
          <w:b/>
          <w:bCs/>
          <w:color w:val="000000"/>
          <w:lang w:eastAsia="tr-TR"/>
        </w:rPr>
      </w:pPr>
      <w:r w:rsidRPr="006171ED">
        <w:rPr>
          <w:b/>
          <w:bCs/>
          <w:color w:val="000000"/>
          <w:lang w:eastAsia="tr-TR"/>
        </w:rPr>
        <w:t>ÜÇÜNCÜ BÖLÜM</w:t>
      </w:r>
    </w:p>
    <w:p w:rsidR="001A2718" w:rsidRDefault="001A2718" w:rsidP="001A2718">
      <w:pPr>
        <w:tabs>
          <w:tab w:val="center" w:pos="4535"/>
        </w:tabs>
        <w:jc w:val="center"/>
        <w:rPr>
          <w:b/>
          <w:bCs/>
          <w:color w:val="000000"/>
          <w:lang w:eastAsia="tr-TR"/>
        </w:rPr>
      </w:pPr>
      <w:r w:rsidRPr="00A44101">
        <w:rPr>
          <w:b/>
          <w:bCs/>
          <w:color w:val="000000"/>
          <w:lang w:eastAsia="tr-TR"/>
        </w:rPr>
        <w:t xml:space="preserve">Yüksek Lisans </w:t>
      </w:r>
      <w:r>
        <w:rPr>
          <w:b/>
          <w:bCs/>
          <w:color w:val="000000"/>
          <w:lang w:eastAsia="tr-TR"/>
        </w:rPr>
        <w:t>Programıyla</w:t>
      </w:r>
      <w:r w:rsidRPr="00A44101">
        <w:rPr>
          <w:b/>
          <w:bCs/>
          <w:color w:val="000000"/>
          <w:lang w:eastAsia="tr-TR"/>
        </w:rPr>
        <w:t xml:space="preserve"> İlgili Esaslar</w:t>
      </w:r>
    </w:p>
    <w:p w:rsidR="001A2718" w:rsidRDefault="001A2718" w:rsidP="001A2718">
      <w:pPr>
        <w:tabs>
          <w:tab w:val="center" w:pos="4535"/>
        </w:tabs>
        <w:rPr>
          <w:b/>
          <w:bCs/>
          <w:color w:val="000000"/>
          <w:lang w:eastAsia="tr-TR"/>
        </w:rPr>
      </w:pPr>
    </w:p>
    <w:p w:rsidR="001A2718" w:rsidRDefault="001A2718" w:rsidP="001A2718">
      <w:r>
        <w:t xml:space="preserve">Madde 25: </w:t>
      </w:r>
      <w:r w:rsidRPr="000375CA">
        <w:t>Yüksek Lisans Programları</w:t>
      </w:r>
    </w:p>
    <w:p w:rsidR="001A2718" w:rsidRDefault="001A2718" w:rsidP="001A2718">
      <w:r>
        <w:t xml:space="preserve">Madde 26: Tezli </w:t>
      </w:r>
      <w:r w:rsidRPr="000375CA">
        <w:t xml:space="preserve">Yüksek Lisans </w:t>
      </w:r>
      <w:r>
        <w:t>Programı</w:t>
      </w:r>
    </w:p>
    <w:p w:rsidR="001A2718" w:rsidRDefault="001A2718" w:rsidP="001A2718">
      <w:r>
        <w:t>Madde 27: Öğrenim Süresi</w:t>
      </w:r>
    </w:p>
    <w:p w:rsidR="001A2718" w:rsidRDefault="001A2718" w:rsidP="001A2718">
      <w:r>
        <w:t>Madde 28:</w:t>
      </w:r>
      <w:r w:rsidRPr="00436705">
        <w:t>Tez Danışmanı Atanması ve Değiştirilmesi</w:t>
      </w:r>
    </w:p>
    <w:p w:rsidR="001A2718" w:rsidRDefault="001A2718" w:rsidP="001A2718">
      <w:r>
        <w:t xml:space="preserve">Madde 29: </w:t>
      </w:r>
      <w:r w:rsidRPr="00436705">
        <w:t>Yüksek Lisans Tezinin Sonuçlanması</w:t>
      </w:r>
    </w:p>
    <w:p w:rsidR="001A2718" w:rsidRDefault="001A2718" w:rsidP="001A2718">
      <w:r>
        <w:t xml:space="preserve">Madde 30:  Tezli </w:t>
      </w:r>
      <w:r w:rsidRPr="00436705">
        <w:t>Yüksek Lisans Diploması</w:t>
      </w:r>
    </w:p>
    <w:p w:rsidR="001A2718" w:rsidRDefault="001A2718" w:rsidP="001A2718">
      <w:r>
        <w:t xml:space="preserve">Madde 31: </w:t>
      </w:r>
      <w:r w:rsidRPr="00436705">
        <w:t xml:space="preserve">Tezsiz Yüksek Lisans </w:t>
      </w:r>
      <w:r>
        <w:t xml:space="preserve">Programı </w:t>
      </w:r>
    </w:p>
    <w:p w:rsidR="001A2718" w:rsidRDefault="001A2718" w:rsidP="001A2718">
      <w:r>
        <w:t>Madde 32:</w:t>
      </w:r>
      <w:r w:rsidRPr="009E612E">
        <w:t xml:space="preserve"> </w:t>
      </w:r>
      <w:r>
        <w:t>Öğrenim Süresi</w:t>
      </w:r>
    </w:p>
    <w:p w:rsidR="001A2718" w:rsidRDefault="001A2718" w:rsidP="001A2718">
      <w:r>
        <w:t>Madde 33: Danışman Atanması</w:t>
      </w:r>
    </w:p>
    <w:p w:rsidR="001A2718" w:rsidRDefault="001A2718" w:rsidP="001A2718">
      <w:r>
        <w:t xml:space="preserve">Madde 34: </w:t>
      </w:r>
      <w:r w:rsidRPr="00436705">
        <w:t>Tezsiz Yüksek Lisans Diploması</w:t>
      </w:r>
    </w:p>
    <w:p w:rsidR="00F32CE1" w:rsidRDefault="00F32CE1" w:rsidP="001A2718">
      <w:pPr>
        <w:jc w:val="center"/>
        <w:rPr>
          <w:b/>
          <w:bCs/>
          <w:color w:val="000000"/>
          <w:lang w:eastAsia="tr-TR"/>
        </w:rPr>
      </w:pPr>
    </w:p>
    <w:p w:rsidR="001A2718" w:rsidRPr="00D0739B" w:rsidRDefault="001A2718" w:rsidP="001A2718">
      <w:pPr>
        <w:jc w:val="center"/>
        <w:rPr>
          <w:b/>
          <w:bCs/>
          <w:color w:val="000000"/>
          <w:lang w:eastAsia="tr-TR"/>
        </w:rPr>
      </w:pPr>
      <w:r w:rsidRPr="00D0739B">
        <w:rPr>
          <w:b/>
          <w:bCs/>
          <w:color w:val="000000"/>
          <w:lang w:eastAsia="tr-TR"/>
        </w:rPr>
        <w:t>DÖRDÜNCÜ BÖLÜM</w:t>
      </w:r>
    </w:p>
    <w:p w:rsidR="001A2718" w:rsidRPr="00D0739B" w:rsidRDefault="001A2718" w:rsidP="001A2718">
      <w:pPr>
        <w:jc w:val="center"/>
        <w:rPr>
          <w:b/>
          <w:bCs/>
          <w:color w:val="000000"/>
          <w:lang w:eastAsia="tr-TR"/>
        </w:rPr>
      </w:pPr>
      <w:r w:rsidRPr="00436705">
        <w:rPr>
          <w:b/>
          <w:bCs/>
          <w:color w:val="000000"/>
          <w:lang w:eastAsia="tr-TR"/>
        </w:rPr>
        <w:t xml:space="preserve">Doktora </w:t>
      </w:r>
      <w:r>
        <w:rPr>
          <w:b/>
          <w:bCs/>
          <w:color w:val="000000"/>
          <w:lang w:eastAsia="tr-TR"/>
        </w:rPr>
        <w:t>Programıyla İlgili</w:t>
      </w:r>
      <w:r w:rsidRPr="00A44101">
        <w:rPr>
          <w:b/>
          <w:bCs/>
          <w:color w:val="000000"/>
          <w:lang w:eastAsia="tr-TR"/>
        </w:rPr>
        <w:t xml:space="preserve"> Esaslar</w:t>
      </w:r>
      <w:r w:rsidRPr="00436705">
        <w:rPr>
          <w:b/>
          <w:bCs/>
          <w:color w:val="000000"/>
          <w:lang w:eastAsia="tr-TR"/>
        </w:rPr>
        <w:t xml:space="preserve">    </w:t>
      </w:r>
    </w:p>
    <w:p w:rsidR="001A2718" w:rsidRDefault="001A2718" w:rsidP="001A2718">
      <w:pPr>
        <w:spacing w:before="85" w:line="240" w:lineRule="atLeast"/>
        <w:rPr>
          <w:bCs/>
          <w:color w:val="000000"/>
          <w:lang w:eastAsia="tr-TR"/>
        </w:rPr>
      </w:pPr>
    </w:p>
    <w:p w:rsidR="001A2718" w:rsidRPr="00436705" w:rsidRDefault="001A2718" w:rsidP="001A2718">
      <w:pPr>
        <w:spacing w:before="85" w:line="240" w:lineRule="atLeast"/>
        <w:rPr>
          <w:bCs/>
          <w:color w:val="000000"/>
          <w:lang w:eastAsia="tr-TR"/>
        </w:rPr>
      </w:pPr>
      <w:r w:rsidRPr="00436705">
        <w:rPr>
          <w:bCs/>
          <w:color w:val="000000"/>
          <w:lang w:eastAsia="tr-TR"/>
        </w:rPr>
        <w:t xml:space="preserve">Madde </w:t>
      </w:r>
      <w:r>
        <w:rPr>
          <w:bCs/>
          <w:color w:val="000000"/>
          <w:lang w:eastAsia="tr-TR"/>
        </w:rPr>
        <w:t>35</w:t>
      </w:r>
      <w:r w:rsidRPr="00436705">
        <w:rPr>
          <w:bCs/>
          <w:color w:val="000000"/>
          <w:lang w:eastAsia="tr-TR"/>
        </w:rPr>
        <w:t xml:space="preserve">: </w:t>
      </w:r>
      <w:r>
        <w:rPr>
          <w:bCs/>
          <w:color w:val="000000"/>
          <w:lang w:eastAsia="tr-TR"/>
        </w:rPr>
        <w:t>Doktora Programı</w:t>
      </w:r>
    </w:p>
    <w:p w:rsidR="001A2718" w:rsidRPr="00436705" w:rsidRDefault="001A2718" w:rsidP="001A2718">
      <w:pPr>
        <w:spacing w:line="240" w:lineRule="atLeast"/>
        <w:jc w:val="both"/>
        <w:rPr>
          <w:bCs/>
          <w:color w:val="000000"/>
          <w:lang w:eastAsia="tr-TR"/>
        </w:rPr>
      </w:pPr>
      <w:r>
        <w:rPr>
          <w:bCs/>
          <w:color w:val="000000"/>
          <w:lang w:eastAsia="tr-TR"/>
        </w:rPr>
        <w:t>Madde 36</w:t>
      </w:r>
      <w:r w:rsidRPr="00436705">
        <w:rPr>
          <w:bCs/>
          <w:color w:val="000000"/>
          <w:lang w:eastAsia="tr-TR"/>
        </w:rPr>
        <w:t>:</w:t>
      </w:r>
      <w:r>
        <w:rPr>
          <w:bCs/>
          <w:color w:val="000000"/>
          <w:lang w:eastAsia="tr-TR"/>
        </w:rPr>
        <w:t xml:space="preserve"> Öğrenim </w:t>
      </w:r>
      <w:r w:rsidRPr="00436705">
        <w:t>Süre</w:t>
      </w:r>
      <w:r>
        <w:t>si</w:t>
      </w:r>
    </w:p>
    <w:p w:rsidR="001A2718" w:rsidRDefault="001A2718" w:rsidP="001A2718">
      <w:pPr>
        <w:spacing w:line="240" w:lineRule="atLeast"/>
        <w:jc w:val="both"/>
      </w:pPr>
      <w:r w:rsidRPr="00436705">
        <w:rPr>
          <w:bCs/>
          <w:color w:val="000000"/>
          <w:lang w:eastAsia="tr-TR"/>
        </w:rPr>
        <w:t xml:space="preserve">Madde </w:t>
      </w:r>
      <w:r>
        <w:rPr>
          <w:bCs/>
          <w:color w:val="000000"/>
          <w:lang w:eastAsia="tr-TR"/>
        </w:rPr>
        <w:t>37</w:t>
      </w:r>
      <w:r w:rsidRPr="00436705">
        <w:rPr>
          <w:bCs/>
          <w:color w:val="000000"/>
          <w:lang w:eastAsia="tr-TR"/>
        </w:rPr>
        <w:t>:</w:t>
      </w:r>
      <w:r>
        <w:rPr>
          <w:bCs/>
          <w:color w:val="000000"/>
          <w:lang w:eastAsia="tr-TR"/>
        </w:rPr>
        <w:t xml:space="preserve"> </w:t>
      </w:r>
      <w:r>
        <w:t>Tez Danışmanı Atanması ve Değiştirilmesi</w:t>
      </w:r>
    </w:p>
    <w:p w:rsidR="001A2718" w:rsidRDefault="001A2718" w:rsidP="001A2718">
      <w:pPr>
        <w:spacing w:line="240" w:lineRule="atLeast"/>
        <w:jc w:val="both"/>
      </w:pPr>
      <w:r>
        <w:t>Madde 38:</w:t>
      </w:r>
      <w:r w:rsidRPr="00436705">
        <w:t xml:space="preserve"> </w:t>
      </w:r>
      <w:r>
        <w:t xml:space="preserve">Doktora </w:t>
      </w:r>
      <w:r w:rsidRPr="00436705">
        <w:t>Yeterlik Sınavı</w:t>
      </w:r>
    </w:p>
    <w:p w:rsidR="001A2718" w:rsidRDefault="001A2718" w:rsidP="001A2718">
      <w:pPr>
        <w:spacing w:line="240" w:lineRule="atLeast"/>
        <w:jc w:val="both"/>
      </w:pPr>
      <w:r>
        <w:t>Madde 39:</w:t>
      </w:r>
      <w:r w:rsidRPr="00436705">
        <w:t xml:space="preserve"> Tez İzleme Komitesi</w:t>
      </w:r>
    </w:p>
    <w:p w:rsidR="001A2718" w:rsidRDefault="001A2718" w:rsidP="001A2718">
      <w:pPr>
        <w:spacing w:line="240" w:lineRule="atLeast"/>
        <w:jc w:val="both"/>
      </w:pPr>
      <w:r>
        <w:t>Madde 40:</w:t>
      </w:r>
      <w:r w:rsidRPr="00436705">
        <w:t xml:space="preserve"> Doktora Tez Çalışması</w:t>
      </w:r>
    </w:p>
    <w:p w:rsidR="001A2718" w:rsidRDefault="001A2718" w:rsidP="001A2718">
      <w:pPr>
        <w:spacing w:line="240" w:lineRule="atLeast"/>
        <w:jc w:val="both"/>
      </w:pPr>
      <w:r>
        <w:t>Madde 41:</w:t>
      </w:r>
      <w:r w:rsidRPr="00436705">
        <w:t xml:space="preserve"> Doktora Tezinin Sonuçlandırılması</w:t>
      </w:r>
    </w:p>
    <w:p w:rsidR="001A2718" w:rsidRPr="00436705" w:rsidRDefault="001A2718" w:rsidP="001A2718">
      <w:pPr>
        <w:spacing w:line="240" w:lineRule="atLeast"/>
        <w:jc w:val="both"/>
      </w:pPr>
      <w:r>
        <w:t>Madde 42:</w:t>
      </w:r>
      <w:r w:rsidRPr="00436705">
        <w:t xml:space="preserve"> Doktora Diploması</w:t>
      </w:r>
    </w:p>
    <w:p w:rsidR="001A2718" w:rsidRDefault="001A2718" w:rsidP="001A2718">
      <w:pPr>
        <w:spacing w:line="240" w:lineRule="atLeast"/>
        <w:jc w:val="center"/>
        <w:rPr>
          <w:bCs/>
          <w:color w:val="000000"/>
          <w:sz w:val="22"/>
          <w:szCs w:val="22"/>
          <w:lang w:eastAsia="tr-TR"/>
        </w:rPr>
      </w:pPr>
    </w:p>
    <w:p w:rsidR="001A2718" w:rsidRDefault="001A2718" w:rsidP="001A2718">
      <w:pPr>
        <w:jc w:val="center"/>
        <w:rPr>
          <w:b/>
          <w:sz w:val="20"/>
          <w:szCs w:val="20"/>
          <w:lang w:eastAsia="tr-TR"/>
        </w:rPr>
      </w:pPr>
    </w:p>
    <w:p w:rsidR="001A2718" w:rsidRPr="00D0739B" w:rsidRDefault="001A2718" w:rsidP="001A2718">
      <w:pPr>
        <w:jc w:val="center"/>
        <w:rPr>
          <w:b/>
          <w:lang w:eastAsia="tr-TR"/>
        </w:rPr>
      </w:pPr>
      <w:r w:rsidRPr="00D0739B">
        <w:rPr>
          <w:b/>
          <w:lang w:eastAsia="tr-TR"/>
        </w:rPr>
        <w:t>BEŞİNCİ BÖLÜM</w:t>
      </w:r>
    </w:p>
    <w:p w:rsidR="001A2718" w:rsidRDefault="001A2718" w:rsidP="001A2718">
      <w:pPr>
        <w:tabs>
          <w:tab w:val="left" w:pos="410"/>
        </w:tabs>
        <w:spacing w:line="240" w:lineRule="atLeast"/>
        <w:jc w:val="center"/>
        <w:rPr>
          <w:b/>
          <w:lang w:eastAsia="tr-TR"/>
        </w:rPr>
      </w:pPr>
      <w:r w:rsidRPr="009E2FC8">
        <w:rPr>
          <w:b/>
          <w:lang w:eastAsia="tr-TR"/>
        </w:rPr>
        <w:t>Sanatta Yeterlik Programıyla İlgili Esaslar</w:t>
      </w:r>
    </w:p>
    <w:p w:rsidR="001A2718" w:rsidRPr="00D0739B" w:rsidRDefault="001A2718" w:rsidP="001A2718">
      <w:pPr>
        <w:tabs>
          <w:tab w:val="left" w:pos="410"/>
        </w:tabs>
        <w:spacing w:line="240" w:lineRule="atLeast"/>
        <w:rPr>
          <w:bCs/>
          <w:color w:val="000000"/>
          <w:lang w:eastAsia="tr-TR"/>
        </w:rPr>
      </w:pPr>
    </w:p>
    <w:p w:rsidR="001A2718" w:rsidRDefault="001A2718" w:rsidP="001A2718">
      <w:pPr>
        <w:spacing w:line="240" w:lineRule="atLeast"/>
        <w:rPr>
          <w:bCs/>
          <w:color w:val="000000"/>
          <w:lang w:eastAsia="tr-TR"/>
        </w:rPr>
      </w:pPr>
      <w:r w:rsidRPr="00D0739B">
        <w:rPr>
          <w:bCs/>
          <w:color w:val="000000"/>
          <w:lang w:eastAsia="tr-TR"/>
        </w:rPr>
        <w:t xml:space="preserve">Madde </w:t>
      </w:r>
      <w:r>
        <w:rPr>
          <w:bCs/>
          <w:color w:val="000000"/>
          <w:lang w:eastAsia="tr-TR"/>
        </w:rPr>
        <w:t>43</w:t>
      </w:r>
      <w:r w:rsidRPr="00D0739B">
        <w:rPr>
          <w:bCs/>
          <w:color w:val="000000"/>
          <w:lang w:eastAsia="tr-TR"/>
        </w:rPr>
        <w:t>:</w:t>
      </w:r>
      <w:r>
        <w:rPr>
          <w:bCs/>
          <w:color w:val="000000"/>
          <w:lang w:eastAsia="tr-TR"/>
        </w:rPr>
        <w:t xml:space="preserve"> </w:t>
      </w:r>
      <w:r w:rsidRPr="0053039F">
        <w:t>Sanatta Yeterlik</w:t>
      </w:r>
      <w:r>
        <w:t xml:space="preserve"> Programı</w:t>
      </w:r>
    </w:p>
    <w:p w:rsidR="001A2718" w:rsidRDefault="001A2718" w:rsidP="001A2718">
      <w:pPr>
        <w:spacing w:line="240" w:lineRule="atLeast"/>
        <w:rPr>
          <w:bCs/>
          <w:color w:val="000000"/>
          <w:lang w:eastAsia="tr-TR"/>
        </w:rPr>
      </w:pPr>
      <w:r>
        <w:rPr>
          <w:bCs/>
          <w:color w:val="000000"/>
          <w:lang w:eastAsia="tr-TR"/>
        </w:rPr>
        <w:t xml:space="preserve">Madde 44: </w:t>
      </w:r>
      <w:r w:rsidRPr="0053039F">
        <w:t>Sanatta Yeterlik Programına Öğrenci Kabulü</w:t>
      </w:r>
    </w:p>
    <w:p w:rsidR="001A2718" w:rsidRDefault="001A2718" w:rsidP="001A2718">
      <w:pPr>
        <w:spacing w:line="240" w:lineRule="atLeast"/>
        <w:rPr>
          <w:bCs/>
          <w:color w:val="000000"/>
          <w:lang w:eastAsia="tr-TR"/>
        </w:rPr>
      </w:pPr>
      <w:r>
        <w:rPr>
          <w:bCs/>
          <w:color w:val="000000"/>
          <w:lang w:eastAsia="tr-TR"/>
        </w:rPr>
        <w:t xml:space="preserve">Madde 45: Öğrenim </w:t>
      </w:r>
      <w:r w:rsidRPr="00436705">
        <w:t>Süre</w:t>
      </w:r>
      <w:r>
        <w:t>si</w:t>
      </w:r>
    </w:p>
    <w:p w:rsidR="001A2718" w:rsidRDefault="001A2718" w:rsidP="001A2718">
      <w:pPr>
        <w:spacing w:line="240" w:lineRule="atLeast"/>
      </w:pPr>
      <w:r>
        <w:rPr>
          <w:bCs/>
          <w:color w:val="000000"/>
          <w:lang w:eastAsia="tr-TR"/>
        </w:rPr>
        <w:t xml:space="preserve">Madde 46: </w:t>
      </w:r>
      <w:r w:rsidRPr="0053039F">
        <w:t xml:space="preserve">Danışman </w:t>
      </w:r>
      <w:r>
        <w:t>A</w:t>
      </w:r>
      <w:r w:rsidRPr="0053039F">
        <w:t>tanması</w:t>
      </w:r>
    </w:p>
    <w:p w:rsidR="001A2718" w:rsidRDefault="001A2718" w:rsidP="001A2718">
      <w:pPr>
        <w:spacing w:line="240" w:lineRule="atLeast"/>
      </w:pPr>
      <w:r>
        <w:t>Madde 47:</w:t>
      </w:r>
      <w:r w:rsidRPr="0053039F">
        <w:t xml:space="preserve"> Yeterlik Çalışmasının Sonuçlanması</w:t>
      </w:r>
    </w:p>
    <w:p w:rsidR="001A2718" w:rsidRDefault="001A2718" w:rsidP="001A2718">
      <w:pPr>
        <w:spacing w:line="240" w:lineRule="atLeast"/>
      </w:pPr>
      <w:r>
        <w:t>Madde 48: Sanatta Yeterlik Diploması</w:t>
      </w:r>
    </w:p>
    <w:p w:rsidR="001A2718" w:rsidRDefault="001A2718" w:rsidP="001A2718">
      <w:pPr>
        <w:jc w:val="center"/>
        <w:rPr>
          <w:b/>
          <w:lang w:eastAsia="tr-TR"/>
        </w:rPr>
      </w:pPr>
    </w:p>
    <w:p w:rsidR="001A2718" w:rsidRPr="00D0739B" w:rsidRDefault="001A2718" w:rsidP="001A2718">
      <w:pPr>
        <w:jc w:val="center"/>
        <w:rPr>
          <w:b/>
          <w:lang w:eastAsia="tr-TR"/>
        </w:rPr>
      </w:pPr>
      <w:r>
        <w:rPr>
          <w:b/>
          <w:lang w:eastAsia="tr-TR"/>
        </w:rPr>
        <w:t>ALTINCI</w:t>
      </w:r>
      <w:r w:rsidRPr="00D0739B">
        <w:rPr>
          <w:b/>
          <w:lang w:eastAsia="tr-TR"/>
        </w:rPr>
        <w:t xml:space="preserve"> BÖLÜM</w:t>
      </w:r>
    </w:p>
    <w:p w:rsidR="001A2718" w:rsidRDefault="001A2718" w:rsidP="001A2718">
      <w:pPr>
        <w:tabs>
          <w:tab w:val="left" w:pos="410"/>
        </w:tabs>
        <w:spacing w:line="240" w:lineRule="atLeast"/>
        <w:jc w:val="center"/>
        <w:rPr>
          <w:b/>
          <w:lang w:eastAsia="tr-TR"/>
        </w:rPr>
      </w:pPr>
      <w:r>
        <w:rPr>
          <w:b/>
          <w:lang w:eastAsia="tr-TR"/>
        </w:rPr>
        <w:t>Son Hükümler</w:t>
      </w:r>
    </w:p>
    <w:p w:rsidR="001A2718" w:rsidRDefault="001A2718" w:rsidP="001A2718">
      <w:pPr>
        <w:spacing w:line="240" w:lineRule="atLeast"/>
      </w:pPr>
    </w:p>
    <w:p w:rsidR="001A2718" w:rsidRDefault="001A2718" w:rsidP="001A2718">
      <w:pPr>
        <w:spacing w:line="240" w:lineRule="atLeast"/>
      </w:pPr>
      <w:r>
        <w:t>Madde 49: Hüküm Bulunmayan Haller</w:t>
      </w:r>
    </w:p>
    <w:p w:rsidR="001A2718" w:rsidRDefault="001A2718" w:rsidP="001A2718">
      <w:pPr>
        <w:spacing w:line="240" w:lineRule="atLeast"/>
      </w:pPr>
      <w:r>
        <w:t>Madde 50: Yürürlük</w:t>
      </w:r>
    </w:p>
    <w:p w:rsidR="001A2718" w:rsidRPr="0053039F" w:rsidRDefault="001A2718" w:rsidP="001A2718">
      <w:pPr>
        <w:spacing w:line="240" w:lineRule="atLeast"/>
      </w:pPr>
      <w:r>
        <w:t>Madde 51:</w:t>
      </w:r>
      <w:r w:rsidRPr="0053039F">
        <w:t xml:space="preserve"> Y</w:t>
      </w:r>
      <w:r>
        <w:t>ürütme</w:t>
      </w:r>
    </w:p>
    <w:p w:rsidR="00D0739B" w:rsidRDefault="00D0739B"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53039F">
      <w:pPr>
        <w:jc w:val="center"/>
        <w:rPr>
          <w:b/>
        </w:rPr>
      </w:pPr>
      <w:r w:rsidRPr="0053039F">
        <w:rPr>
          <w:b/>
        </w:rPr>
        <w:t>BİRİNCİ BÖLÜM</w:t>
      </w:r>
    </w:p>
    <w:p w:rsidR="0053039F" w:rsidRDefault="0053039F" w:rsidP="0053039F">
      <w:pPr>
        <w:jc w:val="center"/>
        <w:rPr>
          <w:b/>
        </w:rPr>
      </w:pPr>
      <w:r w:rsidRPr="0053039F">
        <w:rPr>
          <w:b/>
        </w:rPr>
        <w:t>Amaç, Kapsam ve Tanımlar</w:t>
      </w:r>
    </w:p>
    <w:p w:rsidR="0053039F" w:rsidRDefault="0053039F" w:rsidP="0053039F">
      <w:pPr>
        <w:rPr>
          <w:b/>
        </w:rPr>
      </w:pPr>
    </w:p>
    <w:p w:rsidR="0053039F" w:rsidRPr="006F28AE" w:rsidRDefault="0053039F" w:rsidP="0053039F">
      <w:pPr>
        <w:rPr>
          <w:b/>
        </w:rPr>
      </w:pPr>
      <w:r w:rsidRPr="006F28AE">
        <w:rPr>
          <w:b/>
        </w:rPr>
        <w:t>M</w:t>
      </w:r>
      <w:r w:rsidR="00716353" w:rsidRPr="006F28AE">
        <w:rPr>
          <w:b/>
        </w:rPr>
        <w:t>adde</w:t>
      </w:r>
      <w:r w:rsidRPr="006F28AE">
        <w:rPr>
          <w:b/>
        </w:rPr>
        <w:t xml:space="preserve"> 1 </w:t>
      </w:r>
      <w:r w:rsidR="00716353" w:rsidRPr="006F28AE">
        <w:rPr>
          <w:b/>
        </w:rPr>
        <w:t xml:space="preserve">- </w:t>
      </w:r>
      <w:r w:rsidRPr="006F28AE">
        <w:rPr>
          <w:b/>
        </w:rPr>
        <w:t xml:space="preserve">Amaç </w:t>
      </w:r>
    </w:p>
    <w:p w:rsidR="00716353" w:rsidRPr="006F28AE" w:rsidRDefault="0053039F" w:rsidP="00D128E5">
      <w:pPr>
        <w:spacing w:before="120"/>
        <w:jc w:val="both"/>
      </w:pPr>
      <w:r w:rsidRPr="006F28AE">
        <w:t>Bu Yönetmeliğin amacı, Kıbrıs Sosyal Bilimler Üniversitesine bağlı enstitülerde yürütülen lisansüstü programlarına öğrenci kabul</w:t>
      </w:r>
      <w:r w:rsidR="00E136E2" w:rsidRPr="006F28AE">
        <w:t>ü,</w:t>
      </w:r>
      <w:r w:rsidRPr="006F28AE">
        <w:t xml:space="preserve"> kayıt işlemleri</w:t>
      </w:r>
      <w:r w:rsidR="00E136E2" w:rsidRPr="006F28AE">
        <w:t>, lisansüstü eğitim-</w:t>
      </w:r>
      <w:r w:rsidRPr="006F28AE">
        <w:t xml:space="preserve">öğretim ve sınavlara ilişkin usul ve esasları düzenlemektir. </w:t>
      </w:r>
    </w:p>
    <w:p w:rsidR="00716353" w:rsidRPr="006F28AE" w:rsidRDefault="00716353" w:rsidP="00D128E5">
      <w:pPr>
        <w:spacing w:before="120"/>
        <w:jc w:val="both"/>
        <w:rPr>
          <w:b/>
        </w:rPr>
      </w:pPr>
      <w:r w:rsidRPr="006F28AE">
        <w:rPr>
          <w:b/>
        </w:rPr>
        <w:t>Madde 2 - Kapsam</w:t>
      </w:r>
    </w:p>
    <w:p w:rsidR="0053039F" w:rsidRPr="006F28AE" w:rsidRDefault="0053039F" w:rsidP="00D128E5">
      <w:pPr>
        <w:spacing w:before="120"/>
        <w:jc w:val="both"/>
      </w:pPr>
      <w:r w:rsidRPr="006F28AE">
        <w:t>Bu Yönetmelik</w:t>
      </w:r>
      <w:r w:rsidR="00716353" w:rsidRPr="006F28AE">
        <w:t>,</w:t>
      </w:r>
      <w:r w:rsidRPr="006F28AE">
        <w:t xml:space="preserve"> Kıbrıs Sosyal Bilimler Üniversitesinde yürütülen lisansüstü programlara öğrenci kabul ve kayıt işlemleri ile lisansüstü eğitim öğretim ve sınavlara ilişkin hükümler</w:t>
      </w:r>
      <w:r w:rsidR="00716353" w:rsidRPr="006F28AE">
        <w:t>i kapsamaktadır</w:t>
      </w:r>
      <w:r w:rsidRPr="006F28AE">
        <w:t>.</w:t>
      </w:r>
    </w:p>
    <w:p w:rsidR="00716353" w:rsidRPr="006F28AE" w:rsidRDefault="0053039F" w:rsidP="00D128E5">
      <w:pPr>
        <w:spacing w:before="120"/>
        <w:jc w:val="both"/>
        <w:rPr>
          <w:b/>
        </w:rPr>
      </w:pPr>
      <w:r w:rsidRPr="006F28AE">
        <w:rPr>
          <w:b/>
        </w:rPr>
        <w:t>M</w:t>
      </w:r>
      <w:r w:rsidR="00716353" w:rsidRPr="006F28AE">
        <w:rPr>
          <w:b/>
        </w:rPr>
        <w:t>adde 3 - Dayanak</w:t>
      </w:r>
    </w:p>
    <w:p w:rsidR="00716353" w:rsidRPr="006F28AE" w:rsidRDefault="00814DF1" w:rsidP="00D128E5">
      <w:pPr>
        <w:spacing w:before="120"/>
        <w:jc w:val="both"/>
      </w:pPr>
      <w:r w:rsidRPr="006F28AE">
        <w:t>Bu yönetmelik KKTC Yükseköğretim Yasası, 2547 sayılı Yükseköğretim Kanunu ve Kıbrıs Sosyal Bilimler Üniversitesi Kuruluş ve İşleyiş Tüzüğü hükümleri esas alınarak hazırlanmıştır.</w:t>
      </w:r>
    </w:p>
    <w:p w:rsidR="0053039F" w:rsidRPr="006F28AE" w:rsidRDefault="00716353" w:rsidP="00D128E5">
      <w:pPr>
        <w:spacing w:before="120"/>
        <w:jc w:val="both"/>
        <w:rPr>
          <w:b/>
        </w:rPr>
      </w:pPr>
      <w:r w:rsidRPr="006F28AE">
        <w:rPr>
          <w:b/>
        </w:rPr>
        <w:t xml:space="preserve">Madde 4 - </w:t>
      </w:r>
      <w:r w:rsidR="0053039F" w:rsidRPr="006F28AE">
        <w:rPr>
          <w:b/>
        </w:rPr>
        <w:t xml:space="preserve">Tanımlar </w:t>
      </w:r>
    </w:p>
    <w:p w:rsidR="0053039F" w:rsidRPr="006F28AE" w:rsidRDefault="0053039F" w:rsidP="00D128E5">
      <w:pPr>
        <w:spacing w:before="120"/>
        <w:jc w:val="both"/>
      </w:pPr>
      <w:r w:rsidRPr="006F28AE">
        <w:t xml:space="preserve">Bu Yönetmelikte geçen; </w:t>
      </w:r>
    </w:p>
    <w:p w:rsidR="00716353" w:rsidRPr="006F28AE" w:rsidRDefault="00716353" w:rsidP="00D128E5">
      <w:pPr>
        <w:spacing w:before="120"/>
        <w:jc w:val="both"/>
      </w:pPr>
      <w:r w:rsidRPr="006F28AE">
        <w:t xml:space="preserve">“ALES” Akademik Personel ve Lisansüstü Eğitimi Giriş Sınavını, </w:t>
      </w:r>
    </w:p>
    <w:p w:rsidR="00716353" w:rsidRPr="006F28AE" w:rsidRDefault="00716353" w:rsidP="00D128E5">
      <w:pPr>
        <w:spacing w:before="120"/>
        <w:jc w:val="both"/>
      </w:pPr>
      <w:r w:rsidRPr="006F28AE">
        <w:t xml:space="preserve">“AKTS” Avrupa Kredi Transfer Sistemini, </w:t>
      </w:r>
    </w:p>
    <w:p w:rsidR="00502506" w:rsidRPr="006F28AE" w:rsidRDefault="00502506" w:rsidP="00D128E5">
      <w:pPr>
        <w:spacing w:before="120"/>
        <w:jc w:val="both"/>
      </w:pPr>
      <w:r w:rsidRPr="006F28AE">
        <w:t>“Bilimsel Hazırlık” Lisansüstü programlara kabul edilen öğrencilerin akademik eksiklerini gidermek amacıyla en çok iki yarıyıl süren ve eğitim süresi içinde sayılmayan tamamlama eğitimini,</w:t>
      </w:r>
    </w:p>
    <w:p w:rsidR="00502506" w:rsidRPr="006F28AE" w:rsidRDefault="00502506" w:rsidP="00D128E5">
      <w:pPr>
        <w:spacing w:before="120"/>
        <w:jc w:val="both"/>
      </w:pPr>
      <w:r w:rsidRPr="006F28AE">
        <w:t>“Danışman” Enstitüye kayıtlı öğrenciye ders ve tez dönemlerinde rehberlik etmek üzere ilgili enstitü yönetim kurulu tarafından atanan öğretim üyesini,</w:t>
      </w:r>
    </w:p>
    <w:p w:rsidR="00853A06" w:rsidRPr="006F28AE" w:rsidRDefault="00853A06" w:rsidP="00D128E5">
      <w:pPr>
        <w:spacing w:before="120"/>
        <w:jc w:val="both"/>
      </w:pPr>
      <w:r w:rsidRPr="006F28AE">
        <w:t>“Doktora</w:t>
      </w:r>
      <w:r w:rsidRPr="006F28AE">
        <w:rPr>
          <w:b/>
        </w:rPr>
        <w:t xml:space="preserve"> </w:t>
      </w:r>
      <w:r w:rsidRPr="006F28AE">
        <w:t>Yeterlik Sınavı” doktora ders aşamasının bitimiyle birlikte öğrencinin temel konular ve doktora çalışmasıyla ilgili konularda derinliğe sahip olup olmadığının sınanmasını amaçlayan sınavı</w:t>
      </w:r>
    </w:p>
    <w:p w:rsidR="00853A06" w:rsidRPr="006F28AE" w:rsidRDefault="00853A06" w:rsidP="00D128E5">
      <w:pPr>
        <w:spacing w:before="120"/>
        <w:jc w:val="both"/>
      </w:pPr>
      <w:r w:rsidRPr="006F28AE">
        <w:t>Doktora Yeterlik/Sanatta Yeterlik Komitesi: Yeterlik sınavlarını düzenlemek ve yürütmek üzere enstitü anabilim/anasanat dalı başkanlığı tarafından önerilen ve enstitü yönetim kurulu tarafından onaylanan beş öğretim üyesinden oluşan komiteyi,</w:t>
      </w:r>
    </w:p>
    <w:p w:rsidR="0053039F" w:rsidRPr="006F28AE" w:rsidRDefault="00716353" w:rsidP="00D128E5">
      <w:pPr>
        <w:spacing w:before="120"/>
        <w:jc w:val="both"/>
      </w:pPr>
      <w:r w:rsidRPr="006F28AE">
        <w:t>“</w:t>
      </w:r>
      <w:r w:rsidR="0053039F" w:rsidRPr="006F28AE">
        <w:t>Enstitü</w:t>
      </w:r>
      <w:r w:rsidRPr="006F28AE">
        <w:t>”</w:t>
      </w:r>
      <w:r w:rsidR="0053039F" w:rsidRPr="006F28AE">
        <w:t xml:space="preserve"> Üniversiteye bağlı enstitüleri </w:t>
      </w:r>
    </w:p>
    <w:p w:rsidR="000352EC" w:rsidRPr="006F28AE" w:rsidRDefault="000352EC" w:rsidP="00D128E5">
      <w:pPr>
        <w:spacing w:before="120"/>
        <w:jc w:val="both"/>
      </w:pPr>
      <w:r w:rsidRPr="006F28AE">
        <w:t xml:space="preserve">“Enstitü Kurulu” Enstitü müdürü başkanlığında, müdür yardımcıları ve enstitü anabilim/anasanat dalı başkanlarından oluşan kurulunu, </w:t>
      </w:r>
    </w:p>
    <w:p w:rsidR="000352EC" w:rsidRPr="006F28AE" w:rsidRDefault="000352EC" w:rsidP="00D128E5">
      <w:pPr>
        <w:spacing w:before="120"/>
        <w:jc w:val="both"/>
      </w:pPr>
      <w:r w:rsidRPr="006F28AE">
        <w:t>“Enstitü Yönetim Kurulu” Enstitü müdürü başkanlığında, müdür yardımcıları,müdür tarafından gösterilecek altı aday arasından enstitü kurulu tarafından üç yıl için seçilecek üç öğretim üyesinden oluşan kurulu,</w:t>
      </w:r>
    </w:p>
    <w:p w:rsidR="00435199" w:rsidRPr="006F28AE" w:rsidRDefault="00435199" w:rsidP="00D128E5">
      <w:pPr>
        <w:spacing w:before="120"/>
        <w:jc w:val="both"/>
      </w:pPr>
      <w:r w:rsidRPr="006F28AE">
        <w:t>“GNO” Genel Not Ortalamasını,</w:t>
      </w:r>
    </w:p>
    <w:p w:rsidR="00853A06" w:rsidRPr="006F28AE" w:rsidRDefault="00853A06" w:rsidP="00D128E5">
      <w:pPr>
        <w:spacing w:before="120"/>
        <w:jc w:val="both"/>
      </w:pPr>
      <w:r w:rsidRPr="006F28AE">
        <w:t>“İkinci Tez Danışmanı” Tezli yüksek lisans, doktora veya sanatta yeterlik programına kayıtlı öğrencinin tez çalışmasının niteliğinin birden fazla tez danışmanını gerektirdiği durumlarda atanan ikinci danışmanını,</w:t>
      </w:r>
    </w:p>
    <w:p w:rsidR="0053039F" w:rsidRPr="006F28AE" w:rsidRDefault="00716353" w:rsidP="00D128E5">
      <w:pPr>
        <w:spacing w:before="120"/>
        <w:jc w:val="both"/>
      </w:pPr>
      <w:r w:rsidRPr="006F28AE">
        <w:t>“</w:t>
      </w:r>
      <w:r w:rsidR="0053039F" w:rsidRPr="006F28AE">
        <w:t>İntihal</w:t>
      </w:r>
      <w:r w:rsidRPr="006F28AE">
        <w:t>”</w:t>
      </w:r>
      <w:r w:rsidR="0053039F" w:rsidRPr="006F28AE">
        <w:t xml:space="preserve"> Başkalarının fikirlerini, metotlarını, verilerini veya eserlerini bilimsel kurallara</w:t>
      </w:r>
      <w:r w:rsidR="00E136E2" w:rsidRPr="006F28AE">
        <w:t xml:space="preserve"> </w:t>
      </w:r>
      <w:r w:rsidR="0053039F" w:rsidRPr="006F28AE">
        <w:t xml:space="preserve"> uygun biçimde atıf yapmadan kısmen veya tamamen kendi eseri gibi göstermeyi</w:t>
      </w:r>
      <w:r w:rsidR="00E136E2" w:rsidRPr="006F28AE">
        <w:t>,</w:t>
      </w:r>
      <w:r w:rsidR="0053039F" w:rsidRPr="006F28AE">
        <w:t xml:space="preserve"> </w:t>
      </w:r>
    </w:p>
    <w:p w:rsidR="00D128E5" w:rsidRPr="006F28AE" w:rsidRDefault="00D128E5" w:rsidP="00D128E5">
      <w:pPr>
        <w:spacing w:before="120"/>
        <w:jc w:val="both"/>
      </w:pPr>
      <w:r w:rsidRPr="006F28AE">
        <w:t>“KISBÜ” Kıbrıs Sosyal Bilimler Üniversitesini,</w:t>
      </w:r>
    </w:p>
    <w:p w:rsidR="0053039F" w:rsidRPr="006F28AE" w:rsidRDefault="00502506" w:rsidP="00D128E5">
      <w:pPr>
        <w:spacing w:before="120"/>
        <w:jc w:val="both"/>
      </w:pPr>
      <w:r w:rsidRPr="006F28AE">
        <w:t>“</w:t>
      </w:r>
      <w:r w:rsidR="00716353" w:rsidRPr="006F28AE">
        <w:t xml:space="preserve">Lisansüstü </w:t>
      </w:r>
      <w:r w:rsidRPr="006F28AE">
        <w:t>Eğitim ve Öğretim”</w:t>
      </w:r>
      <w:r w:rsidR="00716353" w:rsidRPr="006F28AE">
        <w:t xml:space="preserve"> Tezli yüksek lisans, tezsiz yüksek lisans, doktora, bütünleştirilmiş doktora ve sanatta yeterlik programlarındaki eğitim ve öğretimi,</w:t>
      </w:r>
    </w:p>
    <w:p w:rsidR="00502506" w:rsidRPr="006F28AE" w:rsidRDefault="00814DF1" w:rsidP="00D128E5">
      <w:pPr>
        <w:spacing w:before="120"/>
        <w:jc w:val="both"/>
      </w:pPr>
      <w:r w:rsidRPr="006F28AE">
        <w:t>“Seminer” Lisansüstü öğrencilerin ders döneminde hazırladıkları, bilimsel bir konunun incelenip irdelenmesine dayanan, sözlü sunularak değerlendirilen ve yazılı bir metinden oluşan çalışmayı,</w:t>
      </w:r>
    </w:p>
    <w:p w:rsidR="00814DF1" w:rsidRPr="006F28AE" w:rsidRDefault="00814DF1" w:rsidP="00D128E5">
      <w:pPr>
        <w:spacing w:before="120"/>
        <w:jc w:val="both"/>
      </w:pPr>
      <w:r w:rsidRPr="006F28AE">
        <w:t>“Tez” Tezli yüksek lisans, doktora, sanatta yeterlik eğitiminin amacına yönelik olarak hazırlanan bilimsel bir çalışmayı,</w:t>
      </w:r>
    </w:p>
    <w:p w:rsidR="00814DF1" w:rsidRPr="006F28AE" w:rsidRDefault="00814DF1" w:rsidP="00D128E5">
      <w:pPr>
        <w:spacing w:before="120"/>
        <w:jc w:val="both"/>
      </w:pPr>
      <w:r w:rsidRPr="006F28AE">
        <w:t>Tez İzleme Komitesi: Yeterlik sınavında başarılı bulunan doktora öğrencisinin tez önerisini değerlendirmek, tez çalışmalarına rehberlik etmek ve yönlendirmek görevini üstlenen biri tez danışmanı olmak üzere ilgili enstitü anabilim/anasanat dalı akademik kurulunun önerisi ve enstitü yönetim kurulu onayı ile atanan en az üç öğretim üyesinden oluşan komiteyi,</w:t>
      </w:r>
    </w:p>
    <w:p w:rsidR="00814DF1" w:rsidRPr="006F28AE" w:rsidRDefault="00814DF1" w:rsidP="00D128E5">
      <w:pPr>
        <w:spacing w:before="120"/>
        <w:jc w:val="both"/>
      </w:pPr>
      <w:r w:rsidRPr="006F28AE">
        <w:t xml:space="preserve">“YDS” Yabancı dil bilgisi seviye tespit sınavını, </w:t>
      </w:r>
    </w:p>
    <w:p w:rsidR="00814DF1" w:rsidRPr="006F28AE" w:rsidRDefault="00814DF1" w:rsidP="00D128E5">
      <w:pPr>
        <w:spacing w:before="120"/>
        <w:jc w:val="both"/>
      </w:pPr>
      <w:r w:rsidRPr="006F28AE">
        <w:t>“YÖKDİL”Yükseköğretim Kurumları Yabancı Dil Sınavını ifade eder.</w:t>
      </w:r>
    </w:p>
    <w:p w:rsidR="00716353" w:rsidRPr="006F28AE" w:rsidRDefault="0053039F" w:rsidP="00D128E5">
      <w:pPr>
        <w:spacing w:before="120"/>
        <w:jc w:val="both"/>
        <w:rPr>
          <w:b/>
        </w:rPr>
      </w:pPr>
      <w:r w:rsidRPr="006F28AE">
        <w:rPr>
          <w:b/>
        </w:rPr>
        <w:t xml:space="preserve">                                                        </w:t>
      </w: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D128E5" w:rsidRPr="006F28AE" w:rsidRDefault="00D128E5" w:rsidP="00D128E5">
      <w:pPr>
        <w:spacing w:before="120"/>
        <w:jc w:val="both"/>
        <w:rPr>
          <w:b/>
        </w:rPr>
      </w:pPr>
    </w:p>
    <w:p w:rsidR="00E136E2" w:rsidRPr="006F28AE" w:rsidRDefault="00E136E2" w:rsidP="00D128E5">
      <w:pPr>
        <w:spacing w:before="120"/>
        <w:jc w:val="center"/>
        <w:rPr>
          <w:b/>
        </w:rPr>
      </w:pPr>
    </w:p>
    <w:p w:rsidR="00E136E2" w:rsidRPr="006F28AE" w:rsidRDefault="00E136E2" w:rsidP="00D128E5">
      <w:pPr>
        <w:spacing w:before="120"/>
        <w:jc w:val="center"/>
        <w:rPr>
          <w:b/>
        </w:rPr>
      </w:pPr>
    </w:p>
    <w:p w:rsidR="00E136E2" w:rsidRPr="006F28AE" w:rsidRDefault="00E136E2" w:rsidP="00D128E5">
      <w:pPr>
        <w:spacing w:before="120"/>
        <w:jc w:val="center"/>
        <w:rPr>
          <w:b/>
        </w:rPr>
      </w:pPr>
    </w:p>
    <w:p w:rsidR="00E136E2" w:rsidRPr="006F28AE" w:rsidRDefault="00E136E2" w:rsidP="00D128E5">
      <w:pPr>
        <w:spacing w:before="120"/>
        <w:jc w:val="center"/>
        <w:rPr>
          <w:b/>
        </w:rPr>
      </w:pPr>
    </w:p>
    <w:p w:rsidR="0053039F" w:rsidRPr="006F28AE" w:rsidRDefault="0053039F" w:rsidP="00D128E5">
      <w:pPr>
        <w:spacing w:before="120"/>
        <w:jc w:val="center"/>
        <w:rPr>
          <w:b/>
        </w:rPr>
      </w:pPr>
      <w:r w:rsidRPr="006F28AE">
        <w:rPr>
          <w:b/>
        </w:rPr>
        <w:t>İKİNCİ BÖLÜM</w:t>
      </w:r>
    </w:p>
    <w:p w:rsidR="00814DF1" w:rsidRPr="006F28AE" w:rsidRDefault="0053039F" w:rsidP="00D128E5">
      <w:pPr>
        <w:spacing w:before="120"/>
        <w:jc w:val="center"/>
        <w:rPr>
          <w:b/>
        </w:rPr>
      </w:pPr>
      <w:r w:rsidRPr="006F28AE">
        <w:rPr>
          <w:b/>
        </w:rPr>
        <w:t>Genel Esaslar</w:t>
      </w:r>
    </w:p>
    <w:p w:rsidR="00814DF1" w:rsidRPr="006F28AE" w:rsidRDefault="0053039F" w:rsidP="00D128E5">
      <w:pPr>
        <w:spacing w:before="120"/>
        <w:jc w:val="both"/>
        <w:rPr>
          <w:b/>
        </w:rPr>
      </w:pPr>
      <w:r w:rsidRPr="006F28AE">
        <w:rPr>
          <w:b/>
        </w:rPr>
        <w:t>M</w:t>
      </w:r>
      <w:r w:rsidR="00814DF1" w:rsidRPr="006F28AE">
        <w:rPr>
          <w:b/>
        </w:rPr>
        <w:t>adde</w:t>
      </w:r>
      <w:r w:rsidRPr="006F28AE">
        <w:rPr>
          <w:b/>
        </w:rPr>
        <w:t xml:space="preserve"> </w:t>
      </w:r>
      <w:r w:rsidR="00814DF1" w:rsidRPr="006F28AE">
        <w:rPr>
          <w:b/>
        </w:rPr>
        <w:t>5</w:t>
      </w:r>
      <w:r w:rsidRPr="006F28AE">
        <w:rPr>
          <w:b/>
        </w:rPr>
        <w:t xml:space="preserve"> -</w:t>
      </w:r>
      <w:r w:rsidRPr="006F28AE">
        <w:t xml:space="preserve"> </w:t>
      </w:r>
      <w:r w:rsidR="00814DF1" w:rsidRPr="006F28AE">
        <w:rPr>
          <w:b/>
        </w:rPr>
        <w:t xml:space="preserve">Öğrenci Kabulü </w:t>
      </w:r>
    </w:p>
    <w:p w:rsidR="00814DF1" w:rsidRPr="006F28AE" w:rsidRDefault="00814DF1" w:rsidP="00D128E5">
      <w:pPr>
        <w:spacing w:before="120"/>
        <w:jc w:val="both"/>
      </w:pPr>
      <w:r w:rsidRPr="006F28AE">
        <w:t xml:space="preserve">(1) </w:t>
      </w:r>
      <w:r w:rsidR="0053039F" w:rsidRPr="006F28AE">
        <w:t xml:space="preserve">Lisansüstü programlara Akademik Personel ve Lisansüstü Eğitimi Giriş Sınavı (ALES) sonuçları ve lisans ve/veya yüksek lisans başarı düzeyine göre başvuru kabul edilir. Ayrıca, tezsiz yüksek lisans programları dışında, adaylarda yeterli düzeyde yabancı dil bilgisi aranır. </w:t>
      </w:r>
    </w:p>
    <w:p w:rsidR="0053039F" w:rsidRPr="006F28AE" w:rsidRDefault="00814DF1" w:rsidP="00D128E5">
      <w:pPr>
        <w:spacing w:before="120"/>
        <w:jc w:val="both"/>
      </w:pPr>
      <w:r w:rsidRPr="006F28AE">
        <w:t xml:space="preserve">(2) </w:t>
      </w:r>
      <w:r w:rsidR="0053039F" w:rsidRPr="006F28AE">
        <w:t>Yüksek lisans ve doktora programlarına hangi lisans ve yüksek lisans programlarından mezun olanların başvurabileceğini Enst</w:t>
      </w:r>
      <w:r w:rsidR="00D14889" w:rsidRPr="006F28AE">
        <w:t>itü Kurulu</w:t>
      </w:r>
      <w:r w:rsidR="0053039F" w:rsidRPr="006F28AE">
        <w:t>nun önerisi ile Üniversite Senatosu karar verir.</w:t>
      </w:r>
    </w:p>
    <w:p w:rsidR="0053039F" w:rsidRPr="006F28AE" w:rsidRDefault="00D128E5" w:rsidP="00D128E5">
      <w:pPr>
        <w:spacing w:before="120"/>
        <w:jc w:val="both"/>
        <w:rPr>
          <w:b/>
        </w:rPr>
      </w:pPr>
      <w:r w:rsidRPr="006F28AE">
        <w:rPr>
          <w:b/>
        </w:rPr>
        <w:t>Madde 6 - Tezli ve Tezsiz Yüksek Lisans Programlarına Başvuru</w:t>
      </w:r>
      <w:r w:rsidR="00435199" w:rsidRPr="006F28AE">
        <w:rPr>
          <w:b/>
        </w:rPr>
        <w:t xml:space="preserve"> ve Öğrenci Kabulü</w:t>
      </w:r>
      <w:r w:rsidRPr="006F28AE">
        <w:rPr>
          <w:b/>
        </w:rPr>
        <w:t xml:space="preserve"> </w:t>
      </w:r>
    </w:p>
    <w:p w:rsidR="0053039F" w:rsidRPr="006F28AE" w:rsidRDefault="00D128E5" w:rsidP="00D128E5">
      <w:pPr>
        <w:spacing w:before="120"/>
        <w:jc w:val="both"/>
      </w:pPr>
      <w:r w:rsidRPr="006F28AE">
        <w:t xml:space="preserve">(1) </w:t>
      </w:r>
      <w:r w:rsidR="0053039F" w:rsidRPr="006F28AE">
        <w:t xml:space="preserve">Tezli ve tezsiz yüksek lisans programlarına başvuruda aşağıdaki </w:t>
      </w:r>
      <w:r w:rsidR="000E0B1F" w:rsidRPr="006F28AE">
        <w:t xml:space="preserve">koşulların sağlanması gerekir: </w:t>
      </w:r>
    </w:p>
    <w:p w:rsidR="0053039F" w:rsidRPr="006F28AE" w:rsidRDefault="00D128E5" w:rsidP="00D128E5">
      <w:pPr>
        <w:spacing w:before="120"/>
        <w:jc w:val="both"/>
      </w:pPr>
      <w:r w:rsidRPr="006F28AE">
        <w:rPr>
          <w:b/>
        </w:rPr>
        <w:tab/>
      </w:r>
      <w:r w:rsidRPr="006F28AE">
        <w:t xml:space="preserve">A. </w:t>
      </w:r>
      <w:r w:rsidR="0053039F" w:rsidRPr="006F28AE">
        <w:t>Diploma ve mezuniyet not ortalaması: Adaylar bir lisans diplomasına sahip olmalı ve lisans not ortalaması minimum2.30/4.00 üzerinde olmalıdır.</w:t>
      </w:r>
    </w:p>
    <w:p w:rsidR="0053039F" w:rsidRPr="006F28AE" w:rsidRDefault="00D128E5" w:rsidP="00D128E5">
      <w:pPr>
        <w:spacing w:before="120"/>
        <w:jc w:val="both"/>
      </w:pPr>
      <w:r w:rsidRPr="006F28AE">
        <w:rPr>
          <w:b/>
        </w:rPr>
        <w:tab/>
      </w:r>
      <w:r w:rsidRPr="006F28AE">
        <w:t xml:space="preserve">B. </w:t>
      </w:r>
      <w:r w:rsidR="0053039F" w:rsidRPr="006F28AE">
        <w:t>ALES puanı: Adaylar Lisansüstü Eğitimi Giriş Sınavında (ALES) başvurdukları programın puan türünde yüksek lisans ve doktora için en az 55 (elli beş) standart puan almış olmalıdırlar. Güzel Sanatlar ve Sahne Sanatları Anabilim Dalı ve Anasanat Dallarına öğrenci kabulünde ALES koşulu aranmaz.  Ayrıca,  Türkiye dışında, KKTC ve diğer ülke öğrencilerinden de ALES koşulu aranmaz.</w:t>
      </w:r>
    </w:p>
    <w:p w:rsidR="006E41E8" w:rsidRPr="006F28AE" w:rsidRDefault="00D128E5" w:rsidP="00D128E5">
      <w:pPr>
        <w:spacing w:before="120"/>
        <w:jc w:val="both"/>
      </w:pPr>
      <w:r w:rsidRPr="006F28AE">
        <w:rPr>
          <w:b/>
        </w:rPr>
        <w:tab/>
      </w:r>
      <w:r w:rsidRPr="006F28AE">
        <w:t xml:space="preserve">C. </w:t>
      </w:r>
      <w:r w:rsidR="0053039F" w:rsidRPr="006F28AE">
        <w:t xml:space="preserve">Yabancı Dil Sınavı: </w:t>
      </w:r>
      <w:r w:rsidR="00B36EE8" w:rsidRPr="006F28AE">
        <w:t xml:space="preserve">Adaylar </w:t>
      </w:r>
      <w:r w:rsidR="006E41E8" w:rsidRPr="006F28AE">
        <w:t xml:space="preserve">bu Yönetmeliğin 13’üncü maddesine göre istenilen yabancı dil sınavlarından herhangi birisinden geçerli not </w:t>
      </w:r>
      <w:r w:rsidR="0053039F" w:rsidRPr="006F28AE">
        <w:t xml:space="preserve">almak zorundadırlar. </w:t>
      </w:r>
      <w:r w:rsidR="006E41E8" w:rsidRPr="006F28AE">
        <w:t>Ancak başvuru esnasında yabancı dil sınavıyla ilgili başarı belgesi sunamayan adaylara Tez savunmasını yapacakları süreye kadar zaman verilir. Bu süre içerisinde de yabancı dil şartını yerine getiremeyen öğrenci tez savunmasına alınmaz. Yabancı dil yeterliliğini yüksek lisans için gerekli azami süre içinde sağlayamayan öğrenciler başarısız sayılır ve Üniversiteyle ilişikleri kesilir.</w:t>
      </w:r>
    </w:p>
    <w:p w:rsidR="0053039F" w:rsidRPr="006F28AE" w:rsidRDefault="006E41E8" w:rsidP="00D128E5">
      <w:pPr>
        <w:spacing w:before="120"/>
        <w:jc w:val="both"/>
      </w:pPr>
      <w:r w:rsidRPr="006F28AE">
        <w:tab/>
        <w:t xml:space="preserve">Ç. </w:t>
      </w:r>
      <w:r w:rsidR="0053039F" w:rsidRPr="006F28AE">
        <w:t>Tezsiz yüksek lisans programlarında yabancı dil sınavı zorunlu değildir; ancak tezsiz yüksek lisans programına öğrenci kabulünde ilgili Anabilim Dalı Akademik Kurulu önerisi ve Enstitü Kurulunun onayı ile yabancı dil sınavı koşulu aranabilir. Yabancı dil sınavının öngörül</w:t>
      </w:r>
      <w:r w:rsidR="002D6078" w:rsidRPr="006F28AE">
        <w:t>me</w:t>
      </w:r>
      <w:r w:rsidR="0053039F" w:rsidRPr="006F28AE">
        <w:t>d</w:t>
      </w:r>
      <w:r w:rsidR="002D6078" w:rsidRPr="006F28AE">
        <w:t>iği</w:t>
      </w:r>
      <w:r w:rsidR="0053039F" w:rsidRPr="006F28AE">
        <w:t xml:space="preserve"> durumlarda adaylar bu Yönetmeliğin </w:t>
      </w:r>
      <w:r w:rsidRPr="006F28AE">
        <w:t xml:space="preserve">13’üncü maddesine göre istenilen yabancı dil </w:t>
      </w:r>
      <w:r w:rsidR="000E0B1F" w:rsidRPr="006F28AE">
        <w:t>sınavından muaf tutulabilirler.</w:t>
      </w:r>
    </w:p>
    <w:p w:rsidR="0053039F" w:rsidRPr="006F28AE" w:rsidRDefault="00D128E5" w:rsidP="00D128E5">
      <w:pPr>
        <w:spacing w:before="120"/>
        <w:jc w:val="both"/>
      </w:pPr>
      <w:r w:rsidRPr="006F28AE">
        <w:rPr>
          <w:b/>
        </w:rPr>
        <w:tab/>
      </w:r>
      <w:r w:rsidRPr="006F28AE">
        <w:t xml:space="preserve">Ç. </w:t>
      </w:r>
      <w:r w:rsidR="0053039F" w:rsidRPr="006F28AE">
        <w:t>Değerlendirme: Yüksek lisans programlarına öğrenci kabulünde Anabilim Dalının hazırlamış olduğu yazılı sınav ve/veya mülakat sonucu, ALES puanı ve lisans not ortalaması değerlendirilir. Değerlendirmede yazılı sınav ve mülakat sonucunun %50'</w:t>
      </w:r>
      <w:r w:rsidRPr="006F28AE">
        <w:t>s</w:t>
      </w:r>
      <w:r w:rsidR="0053039F" w:rsidRPr="006F28AE">
        <w:t xml:space="preserve">i, ALES puanının %40'ı, lisans not ortalamasının %10'u, dikkate alınarak Anabilim Dalı Başkanlığının önerisi ve Enstitü Yönetim Kurulu kararıyla en az toplam 55 (elli beş) puan alanlar arasında sıralama yapılır. Bu sıralama sonucu belirlenen kontenjan kadar yedek aday puanlama sırasına göre belirlenebilir. </w:t>
      </w:r>
    </w:p>
    <w:p w:rsidR="0053039F" w:rsidRPr="006F28AE" w:rsidRDefault="00D128E5" w:rsidP="00D128E5">
      <w:pPr>
        <w:spacing w:before="120"/>
        <w:jc w:val="both"/>
      </w:pPr>
      <w:r w:rsidRPr="006F28AE">
        <w:t xml:space="preserve">(2) </w:t>
      </w:r>
      <w:r w:rsidR="0053039F" w:rsidRPr="006F28AE">
        <w:t>Mülakatta öğrencinin başvuruda sunduğu referans mektubu ve neden yüksek lisans yapmak istediğini, hedeflerini belirten kompozisyon dikkate alınar</w:t>
      </w:r>
      <w:r w:rsidR="000E0B1F" w:rsidRPr="006F28AE">
        <w:t>ak sözlü değerlendirme yapılır.</w:t>
      </w:r>
    </w:p>
    <w:p w:rsidR="0053039F" w:rsidRPr="006F28AE" w:rsidRDefault="00D128E5" w:rsidP="00D128E5">
      <w:pPr>
        <w:spacing w:before="120"/>
        <w:jc w:val="both"/>
        <w:rPr>
          <w:b/>
        </w:rPr>
      </w:pPr>
      <w:r w:rsidRPr="006F28AE">
        <w:rPr>
          <w:b/>
        </w:rPr>
        <w:t>Madde 7 - Doktora Programlarına Başvuru</w:t>
      </w:r>
      <w:r w:rsidR="00435199" w:rsidRPr="006F28AE">
        <w:rPr>
          <w:b/>
        </w:rPr>
        <w:t xml:space="preserve"> ve Öğrenci </w:t>
      </w:r>
      <w:r w:rsidR="00896EB1" w:rsidRPr="006F28AE">
        <w:rPr>
          <w:b/>
        </w:rPr>
        <w:t>Kabulü</w:t>
      </w:r>
      <w:r w:rsidRPr="006F28AE">
        <w:rPr>
          <w:b/>
        </w:rPr>
        <w:t xml:space="preserve"> </w:t>
      </w:r>
    </w:p>
    <w:p w:rsidR="0053039F" w:rsidRPr="006F28AE" w:rsidRDefault="00D128E5" w:rsidP="00D128E5">
      <w:pPr>
        <w:spacing w:before="120"/>
        <w:jc w:val="both"/>
      </w:pPr>
      <w:r w:rsidRPr="006F28AE">
        <w:t xml:space="preserve">(1) </w:t>
      </w:r>
      <w:r w:rsidR="0053039F" w:rsidRPr="006F28AE">
        <w:t>Doktora programlarına başvuruda aşağıdaki koşulla</w:t>
      </w:r>
      <w:r w:rsidR="000E0B1F" w:rsidRPr="006F28AE">
        <w:t xml:space="preserve">rın sağlanması gerekir: </w:t>
      </w:r>
    </w:p>
    <w:p w:rsidR="0053039F" w:rsidRPr="006F28AE" w:rsidRDefault="00D128E5" w:rsidP="00D128E5">
      <w:pPr>
        <w:spacing w:before="120"/>
        <w:jc w:val="both"/>
      </w:pPr>
      <w:r w:rsidRPr="006F28AE">
        <w:tab/>
        <w:t xml:space="preserve">A. </w:t>
      </w:r>
      <w:r w:rsidR="0053039F" w:rsidRPr="006F28AE">
        <w:t xml:space="preserve">Diplomalar ve mezuniyet not ortalaması: Doktora programına başvurabilmek için adayların lisans veya yüksek lisans diplomasına sahip olmaları gerekir. Tezli yüksek lisans yapanların yüksek lisans not ortalaması 100 (yüz) tam not üzerinden en az 80 (seksen) ya da 4.00 üzerinden 3.00 olmalıdır.  </w:t>
      </w:r>
    </w:p>
    <w:p w:rsidR="002E22EA" w:rsidRPr="006F28AE" w:rsidRDefault="00D128E5" w:rsidP="002E22EA">
      <w:pPr>
        <w:spacing w:before="120"/>
        <w:jc w:val="both"/>
      </w:pPr>
      <w:r w:rsidRPr="006F28AE">
        <w:rPr>
          <w:b/>
        </w:rPr>
        <w:tab/>
      </w:r>
      <w:r w:rsidRPr="006F28AE">
        <w:t xml:space="preserve">B. </w:t>
      </w:r>
      <w:r w:rsidR="0053039F" w:rsidRPr="006F28AE">
        <w:t xml:space="preserve">Yabancı Dil Sınavı: </w:t>
      </w:r>
      <w:r w:rsidR="002E22EA" w:rsidRPr="006F28AE">
        <w:t xml:space="preserve">bu Yönetmeliğin 13’üncü maddesine göre istenilen yabancı dil sınavlarından herhangi birisinden geçerli not almak zorundadırlar. Ancak başvuru esnasında yabancı dil sınavıyla ilgili başarı belgesi sunamayan adaylara </w:t>
      </w:r>
      <w:r w:rsidR="00163685" w:rsidRPr="006F28AE">
        <w:t xml:space="preserve">doktora yeterlik sınavına kadar </w:t>
      </w:r>
      <w:r w:rsidR="002E22EA" w:rsidRPr="006F28AE">
        <w:t>süre</w:t>
      </w:r>
      <w:r w:rsidR="00163685" w:rsidRPr="006F28AE">
        <w:t xml:space="preserve"> </w:t>
      </w:r>
      <w:r w:rsidR="002E22EA" w:rsidRPr="006F28AE">
        <w:t>verilir.</w:t>
      </w:r>
      <w:r w:rsidR="00163685" w:rsidRPr="006F28AE">
        <w:t xml:space="preserve"> Doktora yeterlik sınavına kadar </w:t>
      </w:r>
      <w:r w:rsidR="002E22EA" w:rsidRPr="006F28AE">
        <w:t>yabancı dil şartını yerine getiremeyen öğrenci</w:t>
      </w:r>
      <w:r w:rsidR="00163685" w:rsidRPr="006F28AE">
        <w:t>ye bir (1) daha ek süre verilir. Bu süre öğrenim süresinden sayılmaz.</w:t>
      </w:r>
      <w:r w:rsidR="002E22EA" w:rsidRPr="006F28AE">
        <w:t xml:space="preserve"> </w:t>
      </w:r>
      <w:r w:rsidR="00163685" w:rsidRPr="006F28AE">
        <w:t xml:space="preserve">Bu süreler içinde yabancı dil şartını </w:t>
      </w:r>
      <w:r w:rsidR="002E22EA" w:rsidRPr="006F28AE">
        <w:t>sağlayamayan öğrenciler başarısız sayılır ve Üniversiteyle ilişikleri kesilir.</w:t>
      </w:r>
    </w:p>
    <w:p w:rsidR="002E22EA" w:rsidRPr="006F28AE" w:rsidRDefault="00D128E5" w:rsidP="00D128E5">
      <w:pPr>
        <w:spacing w:before="120"/>
        <w:jc w:val="both"/>
      </w:pPr>
      <w:r w:rsidRPr="006F28AE">
        <w:rPr>
          <w:b/>
        </w:rPr>
        <w:tab/>
      </w:r>
      <w:r w:rsidRPr="006F28AE">
        <w:t xml:space="preserve">C. </w:t>
      </w:r>
      <w:r w:rsidR="0053039F" w:rsidRPr="006F28AE">
        <w:t>Değerlendirme: Doktora programına öğrenci kabulünde ALES puanı, lisans ve/veya yüksek lisans not ortalaması</w:t>
      </w:r>
      <w:r w:rsidR="002E22EA" w:rsidRPr="006F28AE">
        <w:t xml:space="preserve"> </w:t>
      </w:r>
      <w:r w:rsidR="0053039F" w:rsidRPr="006F28AE">
        <w:t xml:space="preserve">ve mülakat sonucu değerlendirilir. Mülakatta, öğrencinin başvuruda sunduğu referans mektubu ve neden doktora yapmak istediğini, hedeflerini belirten kompozisyon dikkate alınarak sözlü değerlendirme yapılır. </w:t>
      </w:r>
    </w:p>
    <w:p w:rsidR="00D128E5" w:rsidRPr="006F28AE" w:rsidRDefault="002E22EA" w:rsidP="00D128E5">
      <w:pPr>
        <w:spacing w:before="120"/>
        <w:jc w:val="both"/>
      </w:pPr>
      <w:r w:rsidRPr="006F28AE">
        <w:tab/>
        <w:t xml:space="preserve">Ç. </w:t>
      </w:r>
      <w:r w:rsidR="0053039F" w:rsidRPr="006F28AE">
        <w:t>Tezsiz yüksek lisans programından mezun olanların doktora programlarına başvurabilmeleri tezsiz yüksek lisans programını 100 (yüz) tam not</w:t>
      </w:r>
      <w:r w:rsidR="00AC35C2" w:rsidRPr="006F28AE">
        <w:t xml:space="preserve"> üzerinden en az 85 (4.00 üzerinden 3.50) </w:t>
      </w:r>
      <w:r w:rsidR="0053039F" w:rsidRPr="006F28AE">
        <w:t xml:space="preserve">ortalama ile bitirmiş olmaları, tezli yüksek lisans programına başvuru koşullarını sağlamış olmaları, önce tezli yüksek lisans programına alınmaları ve bir yüksek lisans tezi hazırlamaları ile mümkündür. </w:t>
      </w:r>
    </w:p>
    <w:p w:rsidR="0053039F" w:rsidRPr="006F28AE" w:rsidRDefault="00D128E5" w:rsidP="00D128E5">
      <w:pPr>
        <w:spacing w:before="120"/>
        <w:jc w:val="both"/>
      </w:pPr>
      <w:r w:rsidRPr="006F28AE">
        <w:t>(2</w:t>
      </w:r>
      <w:r w:rsidR="0053039F" w:rsidRPr="006F28AE">
        <w:t>)</w:t>
      </w:r>
      <w:r w:rsidRPr="006F28AE">
        <w:rPr>
          <w:b/>
        </w:rPr>
        <w:t xml:space="preserve"> </w:t>
      </w:r>
      <w:r w:rsidR="0053039F" w:rsidRPr="006F28AE">
        <w:t xml:space="preserve">Kıbrıs Sosyal Bilimler Üniversitesi Rektörlüğü, Enstitülerin açtıkları lisansüstü programların adlarını, başvuru için gerekli belgeleri, son başvuru tarihini ve diğer hususları ilan </w:t>
      </w:r>
      <w:r w:rsidR="002E22EA" w:rsidRPr="006F28AE">
        <w:t>ederek</w:t>
      </w:r>
      <w:r w:rsidR="0053039F" w:rsidRPr="006F28AE">
        <w:t xml:space="preserve"> duyurur. Söz konusu ilan, her yarıyıl başında öğrenci almak üzere verilir. </w:t>
      </w:r>
    </w:p>
    <w:p w:rsidR="000E0B1F" w:rsidRPr="006F28AE" w:rsidRDefault="0053039F" w:rsidP="00D128E5">
      <w:pPr>
        <w:spacing w:before="120"/>
        <w:jc w:val="both"/>
        <w:rPr>
          <w:b/>
        </w:rPr>
      </w:pPr>
      <w:r w:rsidRPr="006F28AE">
        <w:rPr>
          <w:b/>
        </w:rPr>
        <w:t>M</w:t>
      </w:r>
      <w:r w:rsidR="00D128E5" w:rsidRPr="006F28AE">
        <w:rPr>
          <w:b/>
        </w:rPr>
        <w:t>adde</w:t>
      </w:r>
      <w:r w:rsidRPr="006F28AE">
        <w:rPr>
          <w:b/>
        </w:rPr>
        <w:t xml:space="preserve"> </w:t>
      </w:r>
      <w:r w:rsidR="00D128E5" w:rsidRPr="006F28AE">
        <w:rPr>
          <w:b/>
        </w:rPr>
        <w:t xml:space="preserve">8 </w:t>
      </w:r>
      <w:r w:rsidRPr="006F28AE">
        <w:rPr>
          <w:b/>
        </w:rPr>
        <w:t>-</w:t>
      </w:r>
      <w:r w:rsidR="00D128E5" w:rsidRPr="006F28AE">
        <w:rPr>
          <w:b/>
        </w:rPr>
        <w:t xml:space="preserve"> </w:t>
      </w:r>
      <w:r w:rsidR="000E0B1F" w:rsidRPr="006F28AE">
        <w:rPr>
          <w:b/>
        </w:rPr>
        <w:t>Bilimsel Hazırlık Programına Öğrenci Kabulü</w:t>
      </w:r>
    </w:p>
    <w:p w:rsidR="0053039F" w:rsidRPr="006F28AE" w:rsidRDefault="0053039F" w:rsidP="00D128E5">
      <w:pPr>
        <w:spacing w:before="120"/>
        <w:jc w:val="both"/>
        <w:rPr>
          <w:b/>
        </w:rPr>
      </w:pPr>
      <w:r w:rsidRPr="006F28AE">
        <w:t>(</w:t>
      </w:r>
      <w:r w:rsidR="0063041F" w:rsidRPr="006F28AE">
        <w:t>1</w:t>
      </w:r>
      <w:r w:rsidRPr="006F28AE">
        <w:t xml:space="preserve">)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en çok dört dersin verildiği bilimsel hazırlık programı uygulanır. Ancak, münferit akademik nedenlerle lisansüstü programlar, ilgili Enstitü yönetim kurulu kararı ile bilimsel hazırlık programı uygulamayabilirler. </w:t>
      </w:r>
    </w:p>
    <w:p w:rsidR="0053039F" w:rsidRPr="006F28AE" w:rsidRDefault="000E0B1F" w:rsidP="00D128E5">
      <w:pPr>
        <w:spacing w:before="120"/>
        <w:jc w:val="both"/>
      </w:pPr>
      <w:r w:rsidRPr="006F28AE">
        <w:t>(</w:t>
      </w:r>
      <w:r w:rsidR="0063041F" w:rsidRPr="006F28AE">
        <w:t>2</w:t>
      </w:r>
      <w:r w:rsidRPr="006F28AE">
        <w:t>)</w:t>
      </w:r>
      <w:r w:rsidR="0053039F" w:rsidRPr="006F28AE">
        <w:t>Bilimsel hazırlık programında alınması zorunlu dersler, ilgili lisansüstü programını tamamlamak için gerekli görülen derslerin yerine geçemez. Ancak bilimsel hazırlık programındaki bir öğrenci, bilimsel hazırlık derslerinin yanı sıra ilgili enstitü anabilim/anasanat dalı başkanlığının önerisi ve enstitü yönetim kurulunun onayı ile lisansüstü programa yönelik dersler de alabilir.</w:t>
      </w:r>
    </w:p>
    <w:p w:rsidR="00435199" w:rsidRPr="006F28AE" w:rsidRDefault="000E0B1F" w:rsidP="00435199">
      <w:pPr>
        <w:spacing w:before="120"/>
        <w:jc w:val="both"/>
      </w:pPr>
      <w:r w:rsidRPr="006F28AE">
        <w:t>(</w:t>
      </w:r>
      <w:r w:rsidR="0063041F" w:rsidRPr="006F28AE">
        <w:t>3</w:t>
      </w:r>
      <w:r w:rsidRPr="006F28AE">
        <w:t>)</w:t>
      </w:r>
      <w:r w:rsidR="0063041F" w:rsidRPr="006F28AE">
        <w:t xml:space="preserve"> </w:t>
      </w:r>
      <w:r w:rsidR="00435199" w:rsidRPr="006F28AE">
        <w:t>Bilimsel hazırlık programı öğrencisi, iki yarıyıl içinde ilgili enstitü anabilim/anasanat dalı başkanlığının önerisi ve enstitü yönetim kurulu onayıyla en az dört, en çok sekiz derslik bilimsel hazırlık programı derslerini almak ve başarmak zorundadır. Bilimsel hazırlık programı dersleri, lisansüstü programını  tamamlamak için gerekli olan derslerin ve kredilerin yerine sayılmaz ve GNO’ya katılmaz. Ancak bilimsel hazırlık programındaki bir öğrenci, bilimsel hazırlık derslerinin yanı sıra ilgili enstitü anabilim/anasanat dalı başkanlığının önerisi ve enstitü yönetim kurulunun onayıyla lisansüstü programda açılmış olan seçmeli derslerden, her yarıyıl en fazla iki ders alabilir.</w:t>
      </w:r>
    </w:p>
    <w:p w:rsidR="00435199" w:rsidRPr="006F28AE" w:rsidRDefault="00435199" w:rsidP="00435199">
      <w:pPr>
        <w:spacing w:before="120"/>
        <w:jc w:val="both"/>
      </w:pPr>
      <w:r w:rsidRPr="006F28AE">
        <w:t>(4) Yüksek lisans öğrencisinin bilimsel hazırlık programında başarılı sayılabilmesi için bu programdaki lisans düzeyinde aldığı her dersten en az DD harf notu; lisansüstü düzeyde aldığı her dersten en az CC harf notu alması; doktora/sanatta yeterlik öğrencisinin ise her dersten en az CC harf notu alması gerekir. Bilimsel hazırlık programıyla ilgili devam, sınav, ders tekrarı ve diğer esaslar için bu Yönetmelik hükümleri geçerlidir.</w:t>
      </w:r>
    </w:p>
    <w:p w:rsidR="00435199" w:rsidRPr="006F28AE" w:rsidRDefault="00435199" w:rsidP="00435199">
      <w:pPr>
        <w:spacing w:before="120"/>
        <w:jc w:val="both"/>
      </w:pPr>
      <w:r w:rsidRPr="006F28AE">
        <w:t>(5) Bilimsel hazırlık programında geçirilecek süre, yaz öğretimi bu süreye dahil edilmeksizin en çok iki yarıyıldır. Bu süre, Senato tarafından belirlenmiş olan haklı ve geçerli nedenler dışında uzatılamaz. Bilimsel hazırlık programında geçirilen süre, bu Yönetmelikte belirtilen yüksek lisans, doktora/sanatta yeterlik programı sürelerine dahil edilmez.</w:t>
      </w:r>
    </w:p>
    <w:p w:rsidR="0053039F" w:rsidRPr="006F28AE" w:rsidRDefault="00435199" w:rsidP="00435199">
      <w:pPr>
        <w:spacing w:before="120"/>
        <w:jc w:val="both"/>
      </w:pPr>
      <w:r w:rsidRPr="006F28AE">
        <w:t>(6) Bilimsel hazırlık programını beşinci fıkrada belirtilen sürede başarıyla tamamlayamayan öğrencinin programdan ilişiği kesilir.</w:t>
      </w:r>
    </w:p>
    <w:p w:rsidR="000E0B1F" w:rsidRPr="006F28AE" w:rsidRDefault="0053039F" w:rsidP="00D128E5">
      <w:pPr>
        <w:spacing w:before="120"/>
        <w:jc w:val="both"/>
        <w:rPr>
          <w:b/>
        </w:rPr>
      </w:pPr>
      <w:r w:rsidRPr="006F28AE">
        <w:rPr>
          <w:b/>
        </w:rPr>
        <w:t>M</w:t>
      </w:r>
      <w:r w:rsidR="00435199" w:rsidRPr="006F28AE">
        <w:rPr>
          <w:b/>
        </w:rPr>
        <w:t>adde</w:t>
      </w:r>
      <w:r w:rsidRPr="006F28AE">
        <w:rPr>
          <w:b/>
        </w:rPr>
        <w:t xml:space="preserve"> </w:t>
      </w:r>
      <w:r w:rsidR="00435199" w:rsidRPr="006F28AE">
        <w:rPr>
          <w:b/>
        </w:rPr>
        <w:t xml:space="preserve">9 </w:t>
      </w:r>
      <w:r w:rsidRPr="006F28AE">
        <w:rPr>
          <w:b/>
        </w:rPr>
        <w:t xml:space="preserve">- </w:t>
      </w:r>
      <w:r w:rsidR="000E0B1F" w:rsidRPr="006F28AE">
        <w:rPr>
          <w:b/>
        </w:rPr>
        <w:t>Özel Öğrenci Kabulü</w:t>
      </w:r>
    </w:p>
    <w:p w:rsidR="00435199" w:rsidRPr="006F28AE" w:rsidRDefault="00435199" w:rsidP="00D128E5">
      <w:pPr>
        <w:spacing w:before="120"/>
        <w:jc w:val="both"/>
      </w:pPr>
      <w:r w:rsidRPr="006F28AE">
        <w:t xml:space="preserve">(1) </w:t>
      </w:r>
      <w:r w:rsidR="0053039F" w:rsidRPr="006F28AE">
        <w:t xml:space="preserve">Bir yükseköğretim kurumu mezunu veya öğrencisi olup, belirli bir konuda bilgisini artırmak isteyenler, ilgili Enstitü Anabilim Dalı Başkanlığının önerisi ve Enstitü Yönetim Kurulu onayı ile lisansüstü derslere özel öğrenci olarak kabul edilebilir. </w:t>
      </w:r>
    </w:p>
    <w:p w:rsidR="00435199" w:rsidRPr="006F28AE" w:rsidRDefault="00435199" w:rsidP="00D128E5">
      <w:pPr>
        <w:spacing w:before="120"/>
        <w:jc w:val="both"/>
      </w:pPr>
      <w:r w:rsidRPr="006F28AE">
        <w:t xml:space="preserve">(2) </w:t>
      </w:r>
      <w:r w:rsidR="0053039F" w:rsidRPr="006F28AE">
        <w:t>Özel öğrenci statüsünde ders alanlar, öğrencilik haklarından yararlanamaz</w:t>
      </w:r>
      <w:r w:rsidRPr="006F28AE">
        <w:t>lar</w:t>
      </w:r>
      <w:r w:rsidR="0053039F" w:rsidRPr="006F28AE">
        <w:t xml:space="preserve">. Özel öğrencilerin kabulünde not düzeyi aranmaz ve giriş sınavı yapılmaz. Özel öğrenciler de, asıl öğrenciler gibi, Üniversiteye karşı yükümlülüklerini yerine getirmek ve izledikleri derslerin bütün koşullarına uymak zorundadırlar. </w:t>
      </w:r>
    </w:p>
    <w:p w:rsidR="0053039F" w:rsidRPr="006F28AE" w:rsidRDefault="00435199" w:rsidP="00D128E5">
      <w:pPr>
        <w:spacing w:before="120"/>
        <w:jc w:val="both"/>
      </w:pPr>
      <w:r w:rsidRPr="006F28AE">
        <w:t xml:space="preserve">(3) </w:t>
      </w:r>
      <w:r w:rsidR="0053039F" w:rsidRPr="006F28AE">
        <w:t>Özel öğrencilerin, 4 yarıyılı geçirmemek kaydıyla, asıl öğrenci olmaları durumunda, özel öğrenci iken başardıkları lisansüstü derslerden kendi anabilim veya bilim alanları ile ilgili olanlardan aldıkları krediler, izledikleri programdaki kredi toplamının %50’sini geçmemek koşulu ile danışmanı ve Anabilim Dalı Başkanlığının önerisi ve Enstitü Yönetim Kurulunun onayı ile öğrencinin devam etmekte olduğu program için geçerli sayılabilir.</w:t>
      </w:r>
    </w:p>
    <w:p w:rsidR="000E0B1F" w:rsidRPr="006F28AE" w:rsidRDefault="0053039F" w:rsidP="00D128E5">
      <w:pPr>
        <w:spacing w:before="120"/>
        <w:jc w:val="both"/>
        <w:rPr>
          <w:b/>
        </w:rPr>
      </w:pPr>
      <w:r w:rsidRPr="006F28AE">
        <w:rPr>
          <w:b/>
        </w:rPr>
        <w:t>M</w:t>
      </w:r>
      <w:r w:rsidR="00435199" w:rsidRPr="006F28AE">
        <w:rPr>
          <w:b/>
        </w:rPr>
        <w:t>adde</w:t>
      </w:r>
      <w:r w:rsidRPr="006F28AE">
        <w:rPr>
          <w:b/>
        </w:rPr>
        <w:t xml:space="preserve"> </w:t>
      </w:r>
      <w:r w:rsidR="00435199" w:rsidRPr="006F28AE">
        <w:rPr>
          <w:b/>
        </w:rPr>
        <w:t>10</w:t>
      </w:r>
      <w:r w:rsidRPr="006F28AE">
        <w:rPr>
          <w:b/>
        </w:rPr>
        <w:t xml:space="preserve"> </w:t>
      </w:r>
      <w:r w:rsidR="000E0B1F" w:rsidRPr="006F28AE">
        <w:rPr>
          <w:b/>
        </w:rPr>
        <w:t>–Yatay Geçiş Yoluyla Öğrenci Kabulü</w:t>
      </w:r>
    </w:p>
    <w:p w:rsidR="00D077BA" w:rsidRPr="006F28AE" w:rsidRDefault="00435199" w:rsidP="00D128E5">
      <w:pPr>
        <w:spacing w:before="120"/>
        <w:jc w:val="both"/>
      </w:pPr>
      <w:r w:rsidRPr="006F28AE">
        <w:t xml:space="preserve">(1) </w:t>
      </w:r>
      <w:r w:rsidR="006D32E5" w:rsidRPr="006F28AE">
        <w:t>Üniversitenin lisansüstü programları arasında veya başka bir yükseköğretim kurumunun lisansüstü programlarından Üniversitenin ilgili lisansüstü programına yatay geçiş yoluyla öğrenci kabul edilebilir. Yatay geçiş için öğrencinin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r w:rsidR="0053039F" w:rsidRPr="006F28AE">
        <w:t xml:space="preserve"> </w:t>
      </w:r>
      <w:r w:rsidR="00D077BA" w:rsidRPr="006F28AE">
        <w:t>Yatay geçişte bir önceki eğitim kurumunda alınan dersler en çok 2/3 oranında kabul edilebilir.</w:t>
      </w:r>
    </w:p>
    <w:p w:rsidR="006D32E5" w:rsidRPr="006F28AE" w:rsidRDefault="00D077BA" w:rsidP="00D128E5">
      <w:pPr>
        <w:spacing w:before="120"/>
        <w:jc w:val="both"/>
      </w:pPr>
      <w:r w:rsidRPr="006F28AE">
        <w:t xml:space="preserve">(2) </w:t>
      </w:r>
      <w:r w:rsidR="006D32E5" w:rsidRPr="006F28AE">
        <w:t>Yatay geçiş talebinde bulunan ancak transkriptlerinde CD, DC, DD, FF, DZ veya YZ harf notu olan öğrencilerin başvuruları değerlendirmeye alınmaz.</w:t>
      </w:r>
    </w:p>
    <w:p w:rsidR="00D077BA" w:rsidRPr="006F28AE" w:rsidRDefault="00D077BA" w:rsidP="00D077BA">
      <w:pPr>
        <w:spacing w:before="120"/>
        <w:jc w:val="both"/>
      </w:pPr>
      <w:r w:rsidRPr="006F28AE">
        <w:t xml:space="preserve">(3) Yüksek lisans düzeyinde yatay geçiş için başarı koşulu; GNO’su 4,00 üzerinden en az 3,00 veya 100 üzerinden en az 75, doktora/sanatta yeterlik düzeyinde ise GNO’su 4,00 üzerinden en az 3,20 veya 100 üzerinden en az 80 olması ve CC harf notunun altında harf notunun olmamasıdır. Bunlara ek olarak yatay geçiş için ilgili anabilim/anasanat dalı başkanlığının olumlu görüşü ve enstitü yönetim kurulunun onayı gerekir. </w:t>
      </w:r>
    </w:p>
    <w:p w:rsidR="00D077BA" w:rsidRPr="006F28AE" w:rsidRDefault="00D077BA" w:rsidP="00D077BA">
      <w:pPr>
        <w:spacing w:before="120"/>
        <w:jc w:val="both"/>
      </w:pPr>
      <w:r w:rsidRPr="006F28AE">
        <w:t xml:space="preserve">(4) Yüksek lisansta ders yükünü bir başka üniversitede tamamlamış olanların sadece tez yazmak üzere yatay geçiş yapmalarına izin verilmez. Doktora programına yatay geçişlerde, bir başka üniversitede verilmiş olan yeterlik sınavı kabul edilmez ve adayların </w:t>
      </w:r>
      <w:r w:rsidR="002E22EA" w:rsidRPr="006F28AE">
        <w:t xml:space="preserve">bu Yönetmeliğin 13’üncü maddesine göre istenilen yabancı dil sınavlarından herhangi birisinden geçerli not alma koşulunu </w:t>
      </w:r>
      <w:r w:rsidRPr="006F28AE">
        <w:t>yerine getirmiş olmaları gerekir.</w:t>
      </w:r>
    </w:p>
    <w:p w:rsidR="00D077BA" w:rsidRPr="006F28AE" w:rsidRDefault="00D077BA" w:rsidP="00D077BA">
      <w:pPr>
        <w:spacing w:before="120"/>
        <w:jc w:val="both"/>
      </w:pPr>
      <w:r w:rsidRPr="006F28AE">
        <w:t>(5) Yatay geçişle bir programa kaydolan öğrencinin önceki programında geçirdiği süre, geçtiği programın, program süresinden sayılır.</w:t>
      </w:r>
    </w:p>
    <w:p w:rsidR="00D077BA" w:rsidRPr="006F28AE" w:rsidRDefault="00D077BA" w:rsidP="00D077BA">
      <w:pPr>
        <w:spacing w:before="120"/>
        <w:jc w:val="both"/>
      </w:pPr>
      <w:r w:rsidRPr="006F28AE">
        <w:t>(6) Öğrencinin önceden almış olduğu derslere ait kredi ve not transfer talebi, ilgili anabilim/anasanat dalı başkanlığının önerisiyle enstitü yönetim kurulu tarafından karara bağlanır.</w:t>
      </w:r>
    </w:p>
    <w:p w:rsidR="00D077BA" w:rsidRPr="006F28AE" w:rsidRDefault="00D077BA" w:rsidP="00D077BA">
      <w:pPr>
        <w:spacing w:before="120"/>
        <w:jc w:val="both"/>
        <w:rPr>
          <w:b/>
        </w:rPr>
      </w:pPr>
      <w:r w:rsidRPr="006F28AE">
        <w:rPr>
          <w:b/>
        </w:rPr>
        <w:t>Madde 11 - Kredi ve Not Transferleri</w:t>
      </w:r>
    </w:p>
    <w:p w:rsidR="00D077BA" w:rsidRPr="006F28AE" w:rsidRDefault="00D077BA" w:rsidP="00D077BA">
      <w:pPr>
        <w:spacing w:before="120"/>
        <w:jc w:val="both"/>
      </w:pPr>
      <w:r w:rsidRPr="006F28AE">
        <w:t>Öğrencinin, daha önce öğrenim gördüğü yükseköğretim kurumlarında başarmış olduğu dersi/dersleri için Üniversiteye kesin kayıt sırasındaki kredi ve not transferi</w:t>
      </w:r>
      <w:r w:rsidR="0040705E" w:rsidRPr="006F28AE">
        <w:t>yle ilgili işlemler</w:t>
      </w:r>
      <w:r w:rsidR="00DB3899" w:rsidRPr="006F28AE">
        <w:t xml:space="preserve">, alınan notların dönüştürülmesine ilişkin esaslar, özel öğrencilik ve daha önceki lisansüstü programlarda aldıkları derslerin kabul edilme ve öğrencinin alması gereken toplam krediden düşülmesi koşulları Enstitü Kurulu tarafından belirlenir ve </w:t>
      </w:r>
      <w:r w:rsidRPr="006F28AE">
        <w:t>karara bağlanır.</w:t>
      </w:r>
    </w:p>
    <w:p w:rsidR="000E0B1F" w:rsidRPr="006F28AE" w:rsidRDefault="0053039F" w:rsidP="00D128E5">
      <w:pPr>
        <w:spacing w:before="120"/>
        <w:jc w:val="both"/>
        <w:rPr>
          <w:b/>
        </w:rPr>
      </w:pPr>
      <w:r w:rsidRPr="006F28AE">
        <w:rPr>
          <w:b/>
        </w:rPr>
        <w:t>M</w:t>
      </w:r>
      <w:r w:rsidR="00D068A1" w:rsidRPr="006F28AE">
        <w:rPr>
          <w:b/>
        </w:rPr>
        <w:t>adde</w:t>
      </w:r>
      <w:r w:rsidRPr="006F28AE">
        <w:rPr>
          <w:b/>
        </w:rPr>
        <w:t xml:space="preserve"> </w:t>
      </w:r>
      <w:r w:rsidR="00D068A1" w:rsidRPr="006F28AE">
        <w:rPr>
          <w:b/>
        </w:rPr>
        <w:t>1</w:t>
      </w:r>
      <w:r w:rsidR="0040705E" w:rsidRPr="006F28AE">
        <w:rPr>
          <w:b/>
        </w:rPr>
        <w:t>2</w:t>
      </w:r>
      <w:r w:rsidR="00316327" w:rsidRPr="006F28AE">
        <w:rPr>
          <w:b/>
        </w:rPr>
        <w:t xml:space="preserve"> -Lisansüstü Programlara Başvuru</w:t>
      </w:r>
    </w:p>
    <w:p w:rsidR="00D068A1" w:rsidRPr="006F28AE" w:rsidRDefault="00D068A1" w:rsidP="00D128E5">
      <w:pPr>
        <w:spacing w:before="120"/>
        <w:jc w:val="both"/>
      </w:pPr>
      <w:r w:rsidRPr="006F28AE">
        <w:t xml:space="preserve">(1) </w:t>
      </w:r>
      <w:r w:rsidR="0053039F" w:rsidRPr="006F28AE">
        <w:t xml:space="preserve">Adaylar ilan edilen başvuru süresi içinde ilgili Enstitü Müdürlüğüne başvurarak girmek istedikleri programları belirtirler ve başvuruda ALES sonuç belgesini, yabancı dil belgesini ve Enstitünün isteyebileceği diğer belgeleri verirler. </w:t>
      </w:r>
    </w:p>
    <w:p w:rsidR="00D068A1" w:rsidRPr="006F28AE" w:rsidRDefault="00D068A1" w:rsidP="00D128E5">
      <w:pPr>
        <w:spacing w:before="120"/>
        <w:jc w:val="both"/>
      </w:pPr>
      <w:r w:rsidRPr="006F28AE">
        <w:t xml:space="preserve">(2) </w:t>
      </w:r>
      <w:r w:rsidR="0053039F" w:rsidRPr="006F28AE">
        <w:t xml:space="preserve">Yüksek lisans programlarına başvuran adaylar dilekçelerine lisans; doktora programları için yüksek lisans ve eşdeğer lisans diploması ile diplomaya esas teşkil eden not çizelgesini eklerler. </w:t>
      </w:r>
    </w:p>
    <w:p w:rsidR="000E0B1F" w:rsidRPr="006F28AE" w:rsidRDefault="00D068A1" w:rsidP="00D128E5">
      <w:pPr>
        <w:spacing w:before="120"/>
        <w:jc w:val="both"/>
      </w:pPr>
      <w:r w:rsidRPr="006F28AE">
        <w:t xml:space="preserve">(3) </w:t>
      </w:r>
      <w:r w:rsidR="0053039F" w:rsidRPr="006F28AE">
        <w:t>Yüksek lisans not çizelgelerinde programın tezli ve tezsiz olduğu bildirilmelidir. Yabancı ülkelerden alınmış olan diplomalar için YÖDAK veya YÖK’den denklik belgesi istenebilir. Lisansüstü programlara aday kaydı yaptıranlardan ayrıca dilekçelerine referans mektubu, neden lisansüstü eğitim yapmak istediklerine dair kompozisyon gibi açıklayıcı belge ve bildirimler eklemeleri de istenebilir.</w:t>
      </w:r>
    </w:p>
    <w:p w:rsidR="000E0B1F" w:rsidRPr="006F28AE" w:rsidRDefault="000E0B1F" w:rsidP="00D128E5">
      <w:pPr>
        <w:spacing w:before="120"/>
        <w:jc w:val="both"/>
        <w:rPr>
          <w:b/>
        </w:rPr>
      </w:pPr>
      <w:r w:rsidRPr="006F28AE">
        <w:rPr>
          <w:b/>
        </w:rPr>
        <w:t>M</w:t>
      </w:r>
      <w:r w:rsidR="00D068A1" w:rsidRPr="006F28AE">
        <w:rPr>
          <w:b/>
        </w:rPr>
        <w:t>adde</w:t>
      </w:r>
      <w:r w:rsidRPr="006F28AE">
        <w:rPr>
          <w:b/>
        </w:rPr>
        <w:t xml:space="preserve"> </w:t>
      </w:r>
      <w:r w:rsidR="00D068A1" w:rsidRPr="006F28AE">
        <w:rPr>
          <w:b/>
        </w:rPr>
        <w:t>1</w:t>
      </w:r>
      <w:r w:rsidR="0040705E" w:rsidRPr="006F28AE">
        <w:rPr>
          <w:b/>
        </w:rPr>
        <w:t>3</w:t>
      </w:r>
      <w:r w:rsidR="00316327" w:rsidRPr="006F28AE">
        <w:rPr>
          <w:b/>
        </w:rPr>
        <w:t xml:space="preserve"> </w:t>
      </w:r>
      <w:r w:rsidRPr="006F28AE">
        <w:rPr>
          <w:b/>
        </w:rPr>
        <w:t xml:space="preserve">– Muafiyetler </w:t>
      </w:r>
    </w:p>
    <w:p w:rsidR="0053039F" w:rsidRPr="006F28AE" w:rsidRDefault="00D068A1" w:rsidP="00D128E5">
      <w:pPr>
        <w:spacing w:before="120"/>
        <w:jc w:val="both"/>
      </w:pPr>
      <w:r w:rsidRPr="006F28AE">
        <w:t>(1)</w:t>
      </w:r>
      <w:r w:rsidR="0053039F" w:rsidRPr="006F28AE">
        <w:t xml:space="preserve"> ALES Puanı: Uluslararası geçerliği olan "Graduate</w:t>
      </w:r>
      <w:r w:rsidRPr="006F28AE">
        <w:t xml:space="preserve"> </w:t>
      </w:r>
      <w:r w:rsidR="0053039F" w:rsidRPr="006F28AE">
        <w:t>Record</w:t>
      </w:r>
      <w:r w:rsidRPr="006F28AE">
        <w:t xml:space="preserve"> </w:t>
      </w:r>
      <w:r w:rsidR="0053039F" w:rsidRPr="006F28AE">
        <w:t>Examination" (GRE) sınavının sözel (verbal) ve sayısal (quantitative) bölümlerinden toplam puanı en az 950, analytical</w:t>
      </w:r>
      <w:r w:rsidRPr="006F28AE">
        <w:t xml:space="preserve"> </w:t>
      </w:r>
      <w:r w:rsidR="0053039F" w:rsidRPr="006F28AE">
        <w:t xml:space="preserve">writing bölümünden alınan toplam puanı ise en az 3.5 olan adaylar ile "Graduate Management Admission Test" (GMAT) sınavında en az 400 puan alan adayların puanları ALES sınavı yerine geçerli sayılabilir.  </w:t>
      </w:r>
    </w:p>
    <w:p w:rsidR="0053039F" w:rsidRPr="006F28AE" w:rsidRDefault="0053039F" w:rsidP="00D128E5">
      <w:pPr>
        <w:spacing w:before="120"/>
        <w:jc w:val="both"/>
      </w:pPr>
      <w:r w:rsidRPr="006F28AE">
        <w:t>(</w:t>
      </w:r>
      <w:r w:rsidR="00D068A1" w:rsidRPr="006F28AE">
        <w:t>2</w:t>
      </w:r>
      <w:r w:rsidRPr="006F28AE">
        <w:t xml:space="preserve">) Yabancı </w:t>
      </w:r>
      <w:r w:rsidR="002E22EA" w:rsidRPr="006F28AE">
        <w:t>D</w:t>
      </w:r>
      <w:r w:rsidRPr="006F28AE">
        <w:t xml:space="preserve">il Sınavı:  </w:t>
      </w:r>
    </w:p>
    <w:p w:rsidR="0053039F" w:rsidRPr="006F28AE" w:rsidRDefault="00D068A1" w:rsidP="00D128E5">
      <w:pPr>
        <w:spacing w:before="120"/>
        <w:jc w:val="both"/>
      </w:pPr>
      <w:r w:rsidRPr="006F28AE">
        <w:tab/>
        <w:t xml:space="preserve">A. </w:t>
      </w:r>
      <w:r w:rsidR="0053039F" w:rsidRPr="006F28AE">
        <w:t>En az son 3 yılın</w:t>
      </w:r>
      <w:r w:rsidR="00AC35C2" w:rsidRPr="006F28AE">
        <w:t>ı</w:t>
      </w:r>
      <w:r w:rsidR="0053039F" w:rsidRPr="006F28AE">
        <w:t xml:space="preserve"> ortaöğretimini İngilizcenin anadil olarak konuşulduğu bir ülkede, o ülke vatandaşlarının devam ettiği eğitim kurumlarında tamamlayan yüksek lisans ve doktora adayları</w:t>
      </w:r>
      <w:r w:rsidRPr="006F28AE">
        <w:t xml:space="preserve"> veya</w:t>
      </w:r>
      <w:r w:rsidR="0053039F" w:rsidRPr="006F28AE">
        <w:t xml:space="preserve">, </w:t>
      </w:r>
    </w:p>
    <w:p w:rsidR="00D068A1" w:rsidRPr="006F28AE" w:rsidRDefault="00D068A1" w:rsidP="00D068A1">
      <w:pPr>
        <w:spacing w:before="120"/>
        <w:jc w:val="both"/>
      </w:pPr>
      <w:r w:rsidRPr="006F28AE">
        <w:tab/>
        <w:t xml:space="preserve">B. </w:t>
      </w:r>
      <w:r w:rsidR="00AC35C2" w:rsidRPr="006F28AE">
        <w:t xml:space="preserve">Yüksek lisans ve doktora adayları için </w:t>
      </w:r>
      <w:r w:rsidRPr="006F28AE">
        <w:t xml:space="preserve">Öğrenci Seçme ve Yerleştirme Merkezi tarafından yapılan YÖKDİL, YDS, e-YDS, KPDS ve ÜDS gibi yabancı dil sınavlarından birinden yüz tam puan üzerinden en 55 puan veya, </w:t>
      </w:r>
    </w:p>
    <w:p w:rsidR="00D068A1" w:rsidRPr="006F28AE" w:rsidRDefault="00D068A1" w:rsidP="00D068A1">
      <w:pPr>
        <w:spacing w:before="120"/>
        <w:jc w:val="both"/>
      </w:pPr>
      <w:r w:rsidRPr="006F28AE">
        <w:tab/>
        <w:t xml:space="preserve">C. Uluslararası geçerliği olan İngilizce dil sınavlarından olan TOEFL IBT’den en az 66, TOEFL PBT’den en az 514, TOEFL CBT’den en az 184 ve IELTS’den en az 5.5 puan alan yüksek lisans adayları ve TOEFL IBT’den en az 72, TOEFL PBT’den en az 530, TOEFL CBT’den en az 190 ve IELTS’den en az 6.0 puan alan doktora adayları veya, </w:t>
      </w:r>
    </w:p>
    <w:p w:rsidR="00D068A1" w:rsidRPr="006F28AE" w:rsidRDefault="00D068A1" w:rsidP="00D068A1">
      <w:pPr>
        <w:spacing w:before="120"/>
        <w:jc w:val="both"/>
      </w:pPr>
      <w:r w:rsidRPr="006F28AE">
        <w:tab/>
        <w:t xml:space="preserve">Ç. </w:t>
      </w:r>
      <w:r w:rsidR="0053039F" w:rsidRPr="006F28AE">
        <w:t xml:space="preserve">KISBÜ İngilizce Öğretmenliği tarafından açılan Lisansüstü Yabancı Dil </w:t>
      </w:r>
      <w:r w:rsidRPr="006F28AE">
        <w:t xml:space="preserve">(İngilizce) </w:t>
      </w:r>
      <w:r w:rsidR="0053039F" w:rsidRPr="006F28AE">
        <w:t xml:space="preserve">sınavından </w:t>
      </w:r>
      <w:r w:rsidRPr="006F28AE">
        <w:t>yüksek lisans için en az 55 puan</w:t>
      </w:r>
      <w:r w:rsidR="0053039F" w:rsidRPr="006F28AE">
        <w:t xml:space="preserve"> ve </w:t>
      </w:r>
      <w:r w:rsidRPr="006F28AE">
        <w:t xml:space="preserve">doktora için </w:t>
      </w:r>
      <w:r w:rsidR="0053039F" w:rsidRPr="006F28AE">
        <w:t>70 puan alan adayları</w:t>
      </w:r>
      <w:r w:rsidRPr="006F28AE">
        <w:t xml:space="preserve"> yabancı dil seviye tespit ve yeterlilik sınavından muaftır. </w:t>
      </w:r>
    </w:p>
    <w:p w:rsidR="0053039F" w:rsidRPr="006F28AE" w:rsidRDefault="000E0B1F" w:rsidP="00D128E5">
      <w:pPr>
        <w:spacing w:before="120"/>
        <w:jc w:val="both"/>
      </w:pPr>
      <w:r w:rsidRPr="006F28AE">
        <w:t>(</w:t>
      </w:r>
      <w:r w:rsidR="00D068A1" w:rsidRPr="006F28AE">
        <w:t>3</w:t>
      </w:r>
      <w:r w:rsidRPr="006F28AE">
        <w:t>)</w:t>
      </w:r>
      <w:r w:rsidR="00D068A1" w:rsidRPr="006F28AE">
        <w:t xml:space="preserve"> </w:t>
      </w:r>
      <w:r w:rsidR="0053039F" w:rsidRPr="006F28AE">
        <w:t xml:space="preserve">Eğitim –Öğretim dili Türkçe olan anabilim dallarında, uluslararası geçerliliği olan yabancı dillerden birinin yeterlik belgesi istenir. </w:t>
      </w:r>
    </w:p>
    <w:p w:rsidR="0040705E" w:rsidRPr="006F28AE" w:rsidRDefault="0040705E" w:rsidP="00D128E5">
      <w:pPr>
        <w:spacing w:before="120"/>
        <w:jc w:val="both"/>
        <w:rPr>
          <w:b/>
        </w:rPr>
      </w:pPr>
    </w:p>
    <w:p w:rsidR="000E0B1F" w:rsidRPr="006F28AE" w:rsidRDefault="000E0B1F" w:rsidP="00D128E5">
      <w:pPr>
        <w:spacing w:before="120"/>
        <w:jc w:val="both"/>
        <w:rPr>
          <w:b/>
        </w:rPr>
      </w:pPr>
      <w:r w:rsidRPr="006F28AE">
        <w:rPr>
          <w:b/>
        </w:rPr>
        <w:t>M</w:t>
      </w:r>
      <w:r w:rsidR="00B44DE9" w:rsidRPr="006F28AE">
        <w:rPr>
          <w:b/>
        </w:rPr>
        <w:t>adde</w:t>
      </w:r>
      <w:r w:rsidRPr="006F28AE">
        <w:rPr>
          <w:b/>
        </w:rPr>
        <w:t xml:space="preserve"> </w:t>
      </w:r>
      <w:r w:rsidR="00B44DE9" w:rsidRPr="006F28AE">
        <w:rPr>
          <w:b/>
        </w:rPr>
        <w:t>1</w:t>
      </w:r>
      <w:r w:rsidR="0040705E" w:rsidRPr="006F28AE">
        <w:rPr>
          <w:b/>
        </w:rPr>
        <w:t>4</w:t>
      </w:r>
      <w:r w:rsidR="00B44DE9" w:rsidRPr="006F28AE">
        <w:rPr>
          <w:b/>
        </w:rPr>
        <w:t xml:space="preserve"> - B</w:t>
      </w:r>
      <w:r w:rsidRPr="006F28AE">
        <w:rPr>
          <w:b/>
        </w:rPr>
        <w:t>aşvuruların Değerlendirilmesi</w:t>
      </w:r>
    </w:p>
    <w:p w:rsidR="000568EB" w:rsidRPr="006F28AE" w:rsidRDefault="000568EB" w:rsidP="00D128E5">
      <w:pPr>
        <w:spacing w:before="120"/>
        <w:jc w:val="both"/>
      </w:pPr>
      <w:r w:rsidRPr="006F28AE">
        <w:t xml:space="preserve">(1) </w:t>
      </w:r>
      <w:r w:rsidR="0053039F" w:rsidRPr="006F28AE">
        <w:t>Yüksek lisans ve doktora başvurularını değerlendirmek ve mülakat yapmak üzere, Enstitü Anabilim Dalı Başkanlığınca önerilen öğretim üyeleri arasından Enstitü Yönetim Kurulu</w:t>
      </w:r>
      <w:r w:rsidRPr="006F28AE">
        <w:t>nca</w:t>
      </w:r>
      <w:r w:rsidR="0053039F" w:rsidRPr="006F28AE">
        <w:t xml:space="preserve"> en az üçer kişilik jüriler oluşturur. </w:t>
      </w:r>
    </w:p>
    <w:p w:rsidR="0053039F" w:rsidRPr="006F28AE" w:rsidRDefault="000568EB" w:rsidP="00D128E5">
      <w:pPr>
        <w:spacing w:before="120"/>
        <w:jc w:val="both"/>
      </w:pPr>
      <w:r w:rsidRPr="006F28AE">
        <w:t xml:space="preserve">(1) </w:t>
      </w:r>
      <w:r w:rsidR="0053039F" w:rsidRPr="006F28AE">
        <w:t>Jüri, bu Yönetmeli</w:t>
      </w:r>
      <w:r w:rsidR="0040705E" w:rsidRPr="006F28AE">
        <w:t xml:space="preserve">kte belirtilen esaslar ve belirlenen </w:t>
      </w:r>
      <w:r w:rsidR="0053039F" w:rsidRPr="006F28AE">
        <w:t>kontenjana göre hangi adayların lisansüstü programa kabul edilebileceğini Enstitüye bildirir ve Enstitü Yönetim Kurulu kararıyla öğrenci kabulü kesinleşir. Kayıt hakkı kazanan adaylar Enstitü Müdürlüğü tarafından ilan edilir.</w:t>
      </w:r>
    </w:p>
    <w:p w:rsidR="002E22EA" w:rsidRPr="006F28AE" w:rsidRDefault="002E22EA" w:rsidP="00D128E5">
      <w:pPr>
        <w:spacing w:before="120"/>
        <w:jc w:val="both"/>
      </w:pPr>
    </w:p>
    <w:p w:rsidR="0040705E" w:rsidRPr="006F28AE" w:rsidRDefault="0040705E" w:rsidP="0040705E">
      <w:pPr>
        <w:spacing w:before="120"/>
        <w:jc w:val="center"/>
        <w:rPr>
          <w:b/>
        </w:rPr>
      </w:pPr>
      <w:r w:rsidRPr="006F28AE">
        <w:rPr>
          <w:b/>
        </w:rPr>
        <w:t>ÜÇÜNCÜ BÖLÜM</w:t>
      </w:r>
    </w:p>
    <w:p w:rsidR="0040705E" w:rsidRPr="006F28AE" w:rsidRDefault="0040705E" w:rsidP="0040705E">
      <w:pPr>
        <w:spacing w:before="120"/>
        <w:jc w:val="center"/>
        <w:rPr>
          <w:b/>
        </w:rPr>
      </w:pPr>
      <w:r w:rsidRPr="006F28AE">
        <w:rPr>
          <w:b/>
        </w:rPr>
        <w:t>Kayıt</w:t>
      </w:r>
      <w:r w:rsidR="00816007" w:rsidRPr="006F28AE">
        <w:rPr>
          <w:b/>
        </w:rPr>
        <w:t xml:space="preserve"> İşlemler</w:t>
      </w:r>
      <w:r w:rsidRPr="006F28AE">
        <w:rPr>
          <w:b/>
        </w:rPr>
        <w:t xml:space="preserve"> ve Eğitim-Öğretime İlişkin Esaslar</w:t>
      </w:r>
    </w:p>
    <w:p w:rsidR="0053039F" w:rsidRPr="006F28AE" w:rsidRDefault="000E0B1F" w:rsidP="00D128E5">
      <w:pPr>
        <w:spacing w:before="120"/>
        <w:jc w:val="both"/>
        <w:rPr>
          <w:b/>
        </w:rPr>
      </w:pPr>
      <w:r w:rsidRPr="006F28AE">
        <w:rPr>
          <w:b/>
        </w:rPr>
        <w:t>M</w:t>
      </w:r>
      <w:r w:rsidR="0040705E" w:rsidRPr="006F28AE">
        <w:rPr>
          <w:b/>
        </w:rPr>
        <w:t>adde</w:t>
      </w:r>
      <w:r w:rsidRPr="006F28AE">
        <w:rPr>
          <w:b/>
        </w:rPr>
        <w:t xml:space="preserve"> 1</w:t>
      </w:r>
      <w:r w:rsidR="0040705E" w:rsidRPr="006F28AE">
        <w:rPr>
          <w:b/>
        </w:rPr>
        <w:t>5 -</w:t>
      </w:r>
      <w:r w:rsidRPr="006F28AE">
        <w:rPr>
          <w:b/>
        </w:rPr>
        <w:t xml:space="preserve"> </w:t>
      </w:r>
      <w:r w:rsidR="0040705E" w:rsidRPr="006F28AE">
        <w:rPr>
          <w:b/>
        </w:rPr>
        <w:t xml:space="preserve">Lisansüstü Programlara Kayıt </w:t>
      </w:r>
    </w:p>
    <w:p w:rsidR="0040705E" w:rsidRPr="006F28AE" w:rsidRDefault="0040705E" w:rsidP="0040705E">
      <w:pPr>
        <w:spacing w:before="120"/>
        <w:jc w:val="both"/>
      </w:pPr>
      <w:r w:rsidRPr="006F28AE">
        <w:t>(1) Bir lisansüstü programa kayıt hakkı kazanan adayın kesin kaydı, akademik takvimde belirtilen tarihler arasında yapılır. Programa ilk kez kayıt yaptıran öğrencinin danışmanı, tez danışmanı atanana kadar anabilim/anasanat dalı veya program başkanıdır.</w:t>
      </w:r>
    </w:p>
    <w:p w:rsidR="0040705E" w:rsidRPr="006F28AE" w:rsidRDefault="0040705E" w:rsidP="0040705E">
      <w:pPr>
        <w:spacing w:before="120"/>
        <w:jc w:val="both"/>
      </w:pPr>
      <w:r w:rsidRPr="006F28AE">
        <w:t>(</w:t>
      </w:r>
      <w:r w:rsidR="00130525" w:rsidRPr="006F28AE">
        <w:t>2</w:t>
      </w:r>
      <w:r w:rsidRPr="006F28AE">
        <w:t>) Tezsiz yüksek lisans programları hariç, aynı anda birden fazla lisansüstü programa kayıt yaptırılamaz ve devam edilemez.</w:t>
      </w:r>
    </w:p>
    <w:p w:rsidR="0053039F" w:rsidRPr="006F28AE" w:rsidRDefault="0040705E" w:rsidP="00D128E5">
      <w:pPr>
        <w:spacing w:before="120"/>
        <w:jc w:val="both"/>
      </w:pPr>
      <w:r w:rsidRPr="006F28AE">
        <w:t>(</w:t>
      </w:r>
      <w:r w:rsidR="00130525" w:rsidRPr="006F28AE">
        <w:t>3</w:t>
      </w:r>
      <w:r w:rsidRPr="006F28AE">
        <w:t>) Adaylar kayıt es</w:t>
      </w:r>
      <w:r w:rsidR="00130525" w:rsidRPr="006F28AE">
        <w:t>n</w:t>
      </w:r>
      <w:r w:rsidRPr="006F28AE">
        <w:t xml:space="preserve">asında aşağıda istenilen belgeleri şahsen teslim etmek zorundadırlar. </w:t>
      </w:r>
      <w:r w:rsidR="00130525" w:rsidRPr="006F28AE">
        <w:t>Kesin kayıt için b</w:t>
      </w:r>
      <w:r w:rsidR="0053039F" w:rsidRPr="006F28AE">
        <w:t xml:space="preserve">aşvuru sırasında </w:t>
      </w:r>
      <w:r w:rsidRPr="006F28AE">
        <w:t xml:space="preserve">istenilen belgelerin </w:t>
      </w:r>
      <w:r w:rsidR="0053039F" w:rsidRPr="006F28AE">
        <w:t xml:space="preserve">aslını veya onaylı </w:t>
      </w:r>
      <w:r w:rsidR="00130525" w:rsidRPr="006F28AE">
        <w:t>suretini</w:t>
      </w:r>
      <w:r w:rsidR="0053039F" w:rsidRPr="006F28AE">
        <w:t xml:space="preserve"> teslim etm</w:t>
      </w:r>
      <w:r w:rsidR="00130525" w:rsidRPr="006F28AE">
        <w:t>ek zorunludur</w:t>
      </w:r>
      <w:r w:rsidR="0053039F" w:rsidRPr="006F28AE">
        <w:t xml:space="preserve">. Kayıt için sahte veya tahrif edilmiş belge kullanan veya giriş sınavlarında sahtecilik yaptığı belirlenen kişilerin kayıt işlemleri iptal edilir. </w:t>
      </w:r>
    </w:p>
    <w:p w:rsidR="0053039F" w:rsidRPr="006F28AE" w:rsidRDefault="0040705E" w:rsidP="00D128E5">
      <w:pPr>
        <w:spacing w:before="120"/>
        <w:jc w:val="both"/>
      </w:pPr>
      <w:r w:rsidRPr="006F28AE">
        <w:tab/>
        <w:t xml:space="preserve">A. </w:t>
      </w:r>
      <w:r w:rsidR="0053039F" w:rsidRPr="006F28AE">
        <w:t xml:space="preserve">Yabancı ülkelerden alınan diplomalar için YÖK veya YÖDAK’dan denklik belgesi, </w:t>
      </w:r>
    </w:p>
    <w:p w:rsidR="0053039F" w:rsidRPr="006F28AE" w:rsidRDefault="00130525" w:rsidP="00D128E5">
      <w:pPr>
        <w:spacing w:before="120"/>
        <w:jc w:val="both"/>
      </w:pPr>
      <w:r w:rsidRPr="006F28AE">
        <w:tab/>
        <w:t xml:space="preserve">B. </w:t>
      </w:r>
      <w:r w:rsidR="0053039F" w:rsidRPr="006F28AE">
        <w:t xml:space="preserve">ALES veya eşdeğer sınav sonuç belgesi, </w:t>
      </w:r>
    </w:p>
    <w:p w:rsidR="0053039F" w:rsidRPr="006F28AE" w:rsidRDefault="00130525" w:rsidP="00D128E5">
      <w:pPr>
        <w:spacing w:before="120"/>
        <w:jc w:val="both"/>
      </w:pPr>
      <w:r w:rsidRPr="006F28AE">
        <w:tab/>
        <w:t xml:space="preserve">C. </w:t>
      </w:r>
      <w:r w:rsidR="0053039F" w:rsidRPr="006F28AE">
        <w:t xml:space="preserve">Mezuniyet not ortalaması gösterilmiş olan not çizelgesi (transkript), </w:t>
      </w:r>
    </w:p>
    <w:p w:rsidR="0053039F" w:rsidRPr="006F28AE" w:rsidRDefault="00130525" w:rsidP="00D128E5">
      <w:pPr>
        <w:spacing w:before="120"/>
        <w:jc w:val="both"/>
      </w:pPr>
      <w:r w:rsidRPr="006F28AE">
        <w:tab/>
        <w:t>Ç.</w:t>
      </w:r>
      <w:r w:rsidR="0053039F" w:rsidRPr="006F28AE">
        <w:t xml:space="preserve"> </w:t>
      </w:r>
      <w:r w:rsidRPr="006F28AE">
        <w:t>B</w:t>
      </w:r>
      <w:r w:rsidR="002E22EA" w:rsidRPr="006F28AE">
        <w:t>u Yönetmeliğin 13’üncü maddesind</w:t>
      </w:r>
      <w:r w:rsidRPr="006F28AE">
        <w:t>e belirtilen yabancı dil sınav</w:t>
      </w:r>
      <w:r w:rsidR="002E22EA" w:rsidRPr="006F28AE">
        <w:t xml:space="preserve">larından herhangi birisinden </w:t>
      </w:r>
      <w:r w:rsidR="006F153D" w:rsidRPr="006F28AE">
        <w:t xml:space="preserve">başarılı olduğuna dair </w:t>
      </w:r>
      <w:r w:rsidR="0053039F" w:rsidRPr="006F28AE">
        <w:t xml:space="preserve">sınav sonuç belgesi, </w:t>
      </w:r>
    </w:p>
    <w:p w:rsidR="0053039F" w:rsidRPr="006F28AE" w:rsidRDefault="00130525" w:rsidP="00D128E5">
      <w:pPr>
        <w:spacing w:before="120"/>
        <w:jc w:val="both"/>
      </w:pPr>
      <w:r w:rsidRPr="006F28AE">
        <w:tab/>
        <w:t xml:space="preserve">D. </w:t>
      </w:r>
      <w:r w:rsidR="0053039F" w:rsidRPr="006F28AE">
        <w:t xml:space="preserve">Kimlik Kartının onaylı örneği, </w:t>
      </w:r>
    </w:p>
    <w:p w:rsidR="0053039F" w:rsidRPr="006F28AE" w:rsidRDefault="00130525" w:rsidP="00130525">
      <w:pPr>
        <w:spacing w:before="120"/>
        <w:ind w:firstLine="720"/>
        <w:jc w:val="both"/>
      </w:pPr>
      <w:r w:rsidRPr="006F28AE">
        <w:t>E.</w:t>
      </w:r>
      <w:r w:rsidR="0053039F" w:rsidRPr="006F28AE">
        <w:t xml:space="preserve">Yeni tarihli ikamet belgesi, </w:t>
      </w:r>
    </w:p>
    <w:p w:rsidR="0053039F" w:rsidRPr="006F28AE" w:rsidRDefault="00130525" w:rsidP="00130525">
      <w:pPr>
        <w:spacing w:before="120"/>
        <w:ind w:firstLine="720"/>
        <w:jc w:val="both"/>
      </w:pPr>
      <w:r w:rsidRPr="006F28AE">
        <w:t xml:space="preserve">F. </w:t>
      </w:r>
      <w:r w:rsidR="0053039F" w:rsidRPr="006F28AE">
        <w:t xml:space="preserve">Yeni çekilmiş 4.5 x 6 cm boyutunda 6 adet fotoğraf (renkli gözlük takılmayacak, baş açık olacak, erkekler sakallı olmayacaktır), </w:t>
      </w:r>
    </w:p>
    <w:p w:rsidR="0053039F" w:rsidRPr="006F28AE" w:rsidRDefault="00130525" w:rsidP="00130525">
      <w:pPr>
        <w:spacing w:before="120"/>
        <w:ind w:firstLine="720"/>
        <w:jc w:val="both"/>
      </w:pPr>
      <w:r w:rsidRPr="006F28AE">
        <w:t xml:space="preserve">G. </w:t>
      </w:r>
      <w:r w:rsidR="0053039F" w:rsidRPr="006F28AE">
        <w:t>Kıbrıs Sosyal Bilimler Üniversitesi veya diğer Üniversitelerde araştırma görevlisi olanlarla ilgili belge</w:t>
      </w:r>
      <w:r w:rsidR="00AC35C2" w:rsidRPr="006F28AE">
        <w:t>ler istenir</w:t>
      </w:r>
      <w:r w:rsidR="0053039F" w:rsidRPr="006F28AE">
        <w:t>.</w:t>
      </w:r>
    </w:p>
    <w:p w:rsidR="000E0B1F" w:rsidRPr="006F28AE" w:rsidRDefault="0053039F" w:rsidP="00D128E5">
      <w:pPr>
        <w:spacing w:before="120"/>
        <w:jc w:val="both"/>
        <w:rPr>
          <w:b/>
        </w:rPr>
      </w:pPr>
      <w:r w:rsidRPr="006F28AE">
        <w:rPr>
          <w:b/>
        </w:rPr>
        <w:t>M</w:t>
      </w:r>
      <w:r w:rsidR="00130525" w:rsidRPr="006F28AE">
        <w:rPr>
          <w:b/>
        </w:rPr>
        <w:t>adde</w:t>
      </w:r>
      <w:r w:rsidRPr="006F28AE">
        <w:rPr>
          <w:b/>
        </w:rPr>
        <w:t xml:space="preserve"> 1</w:t>
      </w:r>
      <w:r w:rsidR="00130525" w:rsidRPr="006F28AE">
        <w:rPr>
          <w:b/>
        </w:rPr>
        <w:t>6</w:t>
      </w:r>
      <w:r w:rsidR="000E0B1F" w:rsidRPr="006F28AE">
        <w:rPr>
          <w:b/>
        </w:rPr>
        <w:t xml:space="preserve"> </w:t>
      </w:r>
      <w:r w:rsidR="00E621B4" w:rsidRPr="006F28AE">
        <w:rPr>
          <w:b/>
        </w:rPr>
        <w:t>-</w:t>
      </w:r>
      <w:r w:rsidR="000E0B1F" w:rsidRPr="006F28AE">
        <w:rPr>
          <w:b/>
        </w:rPr>
        <w:t xml:space="preserve"> Kayıt Yenileme </w:t>
      </w:r>
    </w:p>
    <w:p w:rsidR="00130525" w:rsidRPr="006F28AE" w:rsidRDefault="00130525" w:rsidP="00D128E5">
      <w:pPr>
        <w:spacing w:before="120"/>
        <w:jc w:val="both"/>
      </w:pPr>
      <w:r w:rsidRPr="006F28AE">
        <w:t xml:space="preserve">(1) </w:t>
      </w:r>
      <w:r w:rsidR="0053039F" w:rsidRPr="006F28AE">
        <w:t xml:space="preserve">Lisansüstü programlara kayıtlı öğrenciler güz ve bahar yarıyılları başında, duyurulan tarihlerde, Enstitü Müdürlüğünce istenen kayıt yenileme işlemlerini yerine getirmekle yükümlüdürler. </w:t>
      </w:r>
    </w:p>
    <w:p w:rsidR="00130525" w:rsidRPr="006F28AE" w:rsidRDefault="00130525" w:rsidP="00D128E5">
      <w:pPr>
        <w:spacing w:before="120"/>
        <w:jc w:val="both"/>
      </w:pPr>
      <w:r w:rsidRPr="006F28AE">
        <w:t xml:space="preserve">(2) </w:t>
      </w:r>
      <w:r w:rsidR="0053039F" w:rsidRPr="006F28AE">
        <w:t xml:space="preserve">Öğretim ücretini ödemeyenlerin kaydı yenilenmez; öğretim ücretini ödemedikleri süre içinde öğrencilere not çizelgesi, öğrenci belgesi, staj yazısı ve askerlik belgesi gibi belge verilmez. </w:t>
      </w:r>
    </w:p>
    <w:p w:rsidR="0053039F" w:rsidRPr="006F28AE" w:rsidRDefault="00130525" w:rsidP="00D128E5">
      <w:pPr>
        <w:spacing w:before="120"/>
        <w:jc w:val="both"/>
      </w:pPr>
      <w:r w:rsidRPr="006F28AE">
        <w:t xml:space="preserve">(3) </w:t>
      </w:r>
      <w:r w:rsidR="0053039F" w:rsidRPr="006F28AE">
        <w:t>Senato tarafından belirlenen haklı ve geçerli bir nedeni olmadan bir yarıyıl kaydını yenilemeyen öğrenciler o yarıyıl sorumlu oldukları derslerden başarısız sayılırlar. Tez aşamasında ise, danışman/tez izleme komitesi tarafından o yarıyıl değerlendirme dışı bırakılarak başarısız sayılırlar.</w:t>
      </w:r>
      <w:r w:rsidR="00E621B4" w:rsidRPr="006F28AE">
        <w:t xml:space="preserve"> Kayıt yenilenmeyen dönemler azami öğrenim süresinden sayılır.</w:t>
      </w:r>
      <w:r w:rsidR="0053039F" w:rsidRPr="006F28AE">
        <w:t xml:space="preserve"> İki defa kayıt yenilemeyen öğrencilere bu Yönetmeliğin</w:t>
      </w:r>
      <w:r w:rsidR="00816007" w:rsidRPr="006F28AE">
        <w:t xml:space="preserve"> 20’nci maddesinde belirtilen esaslara göre işlem yapılır</w:t>
      </w:r>
      <w:r w:rsidR="0053039F" w:rsidRPr="006F28AE">
        <w:t xml:space="preserve">. </w:t>
      </w:r>
    </w:p>
    <w:p w:rsidR="00E621B4" w:rsidRPr="006F28AE" w:rsidRDefault="00E621B4" w:rsidP="00E621B4">
      <w:pPr>
        <w:spacing w:before="120"/>
        <w:jc w:val="both"/>
      </w:pPr>
      <w:r w:rsidRPr="006F28AE">
        <w:rPr>
          <w:b/>
        </w:rPr>
        <w:t xml:space="preserve">Madde 17 - Öğretim </w:t>
      </w:r>
      <w:r w:rsidR="00CC7B03" w:rsidRPr="006F28AE">
        <w:rPr>
          <w:b/>
        </w:rPr>
        <w:t>Y</w:t>
      </w:r>
      <w:r w:rsidRPr="006F28AE">
        <w:rPr>
          <w:b/>
        </w:rPr>
        <w:t>ılı</w:t>
      </w:r>
    </w:p>
    <w:p w:rsidR="00E621B4" w:rsidRPr="006F28AE" w:rsidRDefault="00E621B4" w:rsidP="00E621B4">
      <w:pPr>
        <w:spacing w:before="120"/>
        <w:jc w:val="both"/>
      </w:pPr>
      <w:r w:rsidRPr="006F28AE">
        <w:t xml:space="preserve"> (1) Bir öğretim</w:t>
      </w:r>
      <w:r w:rsidR="00CC7B03" w:rsidRPr="006F28AE">
        <w:t xml:space="preserve"> yılı</w:t>
      </w:r>
      <w:r w:rsidRPr="006F28AE">
        <w:t xml:space="preserve"> </w:t>
      </w:r>
      <w:r w:rsidR="00CC7B03" w:rsidRPr="006F28AE">
        <w:t xml:space="preserve">Senato tarafından belirlenen Akademik takvime göre </w:t>
      </w:r>
      <w:r w:rsidRPr="006F28AE">
        <w:t>dönem sonu sınavlarıyla birlikte her biri 1</w:t>
      </w:r>
      <w:r w:rsidR="00CC7B03" w:rsidRPr="006F28AE">
        <w:t>4</w:t>
      </w:r>
      <w:r w:rsidRPr="006F28AE">
        <w:t xml:space="preserve"> haftadan oluşan güz ve bahar yarıyıllarını kapsar.</w:t>
      </w:r>
    </w:p>
    <w:p w:rsidR="00E621B4" w:rsidRPr="006F28AE" w:rsidRDefault="00CC7B03" w:rsidP="00E621B4">
      <w:pPr>
        <w:spacing w:before="120"/>
        <w:jc w:val="both"/>
      </w:pPr>
      <w:r w:rsidRPr="006F28AE">
        <w:t>(2</w:t>
      </w:r>
      <w:r w:rsidR="00E621B4" w:rsidRPr="006F28AE">
        <w:t>) Bir yarıyılda hangi derslerin açılacağı ve bu derslerin hangi öğretim elemanları tarafından verileceği, ilgili enstitü anabilim/anasanat dalı başkanlığının ve enstitü kurulunun önerileriyle Senato tarafından belirlenir.</w:t>
      </w:r>
    </w:p>
    <w:p w:rsidR="00E621B4" w:rsidRPr="006F28AE" w:rsidRDefault="00E621B4" w:rsidP="00E621B4">
      <w:pPr>
        <w:spacing w:before="120"/>
        <w:jc w:val="both"/>
      </w:pPr>
      <w:r w:rsidRPr="006F28AE">
        <w:t>(</w:t>
      </w:r>
      <w:r w:rsidR="00CC7B03" w:rsidRPr="006F28AE">
        <w:t>3</w:t>
      </w:r>
      <w:r w:rsidRPr="006F28AE">
        <w:t>) Bazı programlar ve dersler, uzaktan eğitim-öğretim teknikleri kullanılarak ilgili mevzuat hükümleri çerçevesinde yürütülebilir.</w:t>
      </w:r>
    </w:p>
    <w:p w:rsidR="00CC7B03" w:rsidRPr="006F28AE" w:rsidRDefault="00CC7B03" w:rsidP="00CC7B03">
      <w:pPr>
        <w:spacing w:before="120"/>
        <w:jc w:val="both"/>
        <w:rPr>
          <w:b/>
        </w:rPr>
      </w:pPr>
      <w:r w:rsidRPr="006F28AE">
        <w:rPr>
          <w:b/>
        </w:rPr>
        <w:t>Madde 18 - Devam Zorunluluğu</w:t>
      </w:r>
    </w:p>
    <w:p w:rsidR="00CC7B03" w:rsidRPr="006F28AE" w:rsidRDefault="00CC7B03" w:rsidP="00CC7B03">
      <w:pPr>
        <w:spacing w:before="120"/>
        <w:jc w:val="both"/>
      </w:pPr>
      <w:r w:rsidRPr="006F28AE">
        <w:t>(1) Örgün programlarda teorik ve uygulamalı derslere devam zorunluluğu en az %70’tir. Uygulamalara devam esasları, enstitü yönetim kurulu tarafından belirlenir. Bir dersten Senato tarafından belirlenmiş haklı ve geçerli nedenlerden kaynaklı olsa dahi devam koşulunu yerine getirmeyen ve/veya uygulamalardan başarılı olamayan öğrenci, o dersin dönem sonu sınavına giremez. Ancak enstitü yönetim kurulu tarafından Üniversiteyi veya KKTC’yi temsilen görevlendirilen bir öğrenci, Rektörlük onayından sonra bu süreler içinde izinli sayılır.</w:t>
      </w:r>
    </w:p>
    <w:p w:rsidR="00E621B4" w:rsidRPr="006F28AE" w:rsidRDefault="00CC7B03" w:rsidP="00CC7B03">
      <w:pPr>
        <w:spacing w:before="120"/>
        <w:jc w:val="both"/>
      </w:pPr>
      <w:r w:rsidRPr="006F28AE">
        <w:t>(2) Uzaktan öğretim programlarına kayıtlı öğrencilerin derslere devam koşulları, ilgili anabilim/anasanat dalı başkanlığının önerisi ve enstitü yönetim kurulu kararıyla belirlenir.</w:t>
      </w:r>
    </w:p>
    <w:p w:rsidR="00CC7B03" w:rsidRPr="006F28AE" w:rsidRDefault="00CC7B03" w:rsidP="00CC7B03">
      <w:pPr>
        <w:spacing w:before="120"/>
        <w:jc w:val="both"/>
      </w:pPr>
      <w:r w:rsidRPr="006F28AE">
        <w:rPr>
          <w:b/>
        </w:rPr>
        <w:t>Madde 19 - Öğrenim Haklarının Saklı Tutulması</w:t>
      </w:r>
    </w:p>
    <w:p w:rsidR="00CC7B03" w:rsidRPr="006F28AE" w:rsidRDefault="00CC7B03" w:rsidP="00CC7B03">
      <w:pPr>
        <w:spacing w:before="120"/>
        <w:jc w:val="both"/>
      </w:pPr>
      <w:r w:rsidRPr="006F28AE">
        <w:t xml:space="preserve">(1) Senato tarafından belirlenmiş haklı ve geçerli nedenlerden birine dayalı olarak öğrencinin öğrencilik hakları saklı tutulabilir. </w:t>
      </w:r>
    </w:p>
    <w:p w:rsidR="00CC7B03" w:rsidRPr="006F28AE" w:rsidRDefault="00CC7B03" w:rsidP="00CC7B03">
      <w:pPr>
        <w:spacing w:before="120"/>
        <w:jc w:val="both"/>
      </w:pPr>
      <w:r w:rsidRPr="006F28AE">
        <w:t>(2) Öğrencinin mazeretini belirten belgeler, düzenlenme tarihinden itibaren en geç beş işgünü içinde ilgili enstitü müdürlüğüne teslim edilir ve talep, enstitü yönetim kurulu tarafından karara bağlanır. Öğrencinin saklı tutulan süresi, Yönetmelikte belirlenen azami öğrenim süresinden sayılmaz.</w:t>
      </w:r>
    </w:p>
    <w:p w:rsidR="00CC7B03" w:rsidRPr="006F28AE" w:rsidRDefault="00CC7B03" w:rsidP="00CC7B03">
      <w:pPr>
        <w:spacing w:before="120"/>
        <w:jc w:val="both"/>
      </w:pPr>
      <w:r w:rsidRPr="006F28AE">
        <w:rPr>
          <w:b/>
        </w:rPr>
        <w:t>Madde 20 - Kayıt Silme</w:t>
      </w:r>
      <w:r w:rsidRPr="006F28AE">
        <w:t xml:space="preserve"> </w:t>
      </w:r>
    </w:p>
    <w:p w:rsidR="00CC7B03" w:rsidRPr="006F28AE" w:rsidRDefault="00CC7B03" w:rsidP="00CC7B03">
      <w:pPr>
        <w:spacing w:before="120"/>
        <w:jc w:val="both"/>
      </w:pPr>
      <w:r w:rsidRPr="006F28AE">
        <w:t xml:space="preserve">(1) Öğrencinin yazılı istekte bulunması </w:t>
      </w:r>
      <w:r w:rsidR="00C05FCA" w:rsidRPr="006F28AE">
        <w:t xml:space="preserve">veya aşağıda belirtilen koşulların sağlanması </w:t>
      </w:r>
      <w:r w:rsidRPr="006F28AE">
        <w:t>durumunda kayıtlı olduğu programdan ilişiği kesilir.</w:t>
      </w:r>
    </w:p>
    <w:p w:rsidR="00CC7B03" w:rsidRPr="006F28AE" w:rsidRDefault="00C05FCA" w:rsidP="00CC7B03">
      <w:pPr>
        <w:spacing w:before="120"/>
        <w:jc w:val="both"/>
      </w:pPr>
      <w:r w:rsidRPr="006F28AE">
        <w:tab/>
        <w:t>A.</w:t>
      </w:r>
      <w:r w:rsidR="00CC7B03" w:rsidRPr="006F28AE">
        <w:t xml:space="preserve"> İkinci ve daha sonraki herhangi bir yarıyıl sonunda genel not ortalaması</w:t>
      </w:r>
      <w:r w:rsidRPr="006F28AE">
        <w:t>nın</w:t>
      </w:r>
      <w:r w:rsidR="00CC7B03" w:rsidRPr="006F28AE">
        <w:t xml:space="preserve"> 2.50'den az ol</w:t>
      </w:r>
      <w:r w:rsidRPr="006F28AE">
        <w:t>ması</w:t>
      </w:r>
      <w:r w:rsidR="00CC7B03" w:rsidRPr="006F28AE">
        <w:t xml:space="preserve">, </w:t>
      </w:r>
    </w:p>
    <w:p w:rsidR="00CC7B03" w:rsidRPr="006F28AE" w:rsidRDefault="00C05FCA" w:rsidP="00CC7B03">
      <w:pPr>
        <w:spacing w:before="120"/>
        <w:jc w:val="both"/>
      </w:pPr>
      <w:r w:rsidRPr="006F28AE">
        <w:tab/>
        <w:t xml:space="preserve">B. </w:t>
      </w:r>
      <w:r w:rsidR="00CC7B03" w:rsidRPr="006F28AE">
        <w:t>Enstitü Anabilim Dalı Başkanlıkları tarafından belirlenen en az ders yükünü, tezli yüksek lisans programında dört, tezsiz yüksek lisans programında altı ve doktora programında dört yarıyılda tamamla</w:t>
      </w:r>
      <w:r w:rsidRPr="006F28AE">
        <w:t>nmaması</w:t>
      </w:r>
      <w:r w:rsidR="00CC7B03" w:rsidRPr="006F28AE">
        <w:t xml:space="preserve">, </w:t>
      </w:r>
    </w:p>
    <w:p w:rsidR="00C05FCA" w:rsidRPr="006F28AE" w:rsidRDefault="00C05FCA" w:rsidP="00CC7B03">
      <w:pPr>
        <w:spacing w:before="120"/>
        <w:jc w:val="both"/>
      </w:pPr>
      <w:r w:rsidRPr="006F28AE">
        <w:tab/>
        <w:t xml:space="preserve">C. </w:t>
      </w:r>
      <w:r w:rsidR="00CC7B03" w:rsidRPr="006F28AE">
        <w:t>Yayın koşulu ve YÖKDİL, YDS, e-YDS, KPDS ve ÜDS veya ilgili yabancı dil yeterlik sınavında bu Yönetmelikte belirtilen süre içerisinde başarılı ol</w:t>
      </w:r>
      <w:r w:rsidRPr="006F28AE">
        <w:t xml:space="preserve">unamaması, </w:t>
      </w:r>
    </w:p>
    <w:p w:rsidR="00CC7B03" w:rsidRPr="006F28AE" w:rsidRDefault="00C05FCA" w:rsidP="00CC7B03">
      <w:pPr>
        <w:spacing w:before="120"/>
        <w:jc w:val="both"/>
      </w:pPr>
      <w:r w:rsidRPr="006F28AE">
        <w:tab/>
        <w:t>Ç.</w:t>
      </w:r>
      <w:r w:rsidR="00CC7B03" w:rsidRPr="006F28AE">
        <w:t xml:space="preserve"> </w:t>
      </w:r>
      <w:r w:rsidRPr="006F28AE">
        <w:t>Doktora öğrencileri için d</w:t>
      </w:r>
      <w:r w:rsidR="00CC7B03" w:rsidRPr="006F28AE">
        <w:t>oktora yeterlik sınavında ikinci kez başarısız ol</w:t>
      </w:r>
      <w:r w:rsidRPr="006F28AE">
        <w:t>unması</w:t>
      </w:r>
      <w:r w:rsidR="00CC7B03" w:rsidRPr="006F28AE">
        <w:t xml:space="preserve">, </w:t>
      </w:r>
    </w:p>
    <w:p w:rsidR="00CC7B03" w:rsidRPr="006F28AE" w:rsidRDefault="00C05FCA" w:rsidP="00CC7B03">
      <w:pPr>
        <w:spacing w:before="120"/>
        <w:jc w:val="both"/>
      </w:pPr>
      <w:r w:rsidRPr="006F28AE">
        <w:tab/>
        <w:t>D. Doktora öğrencileri için t</w:t>
      </w:r>
      <w:r w:rsidR="00CC7B03" w:rsidRPr="006F28AE">
        <w:t>ez önerisi</w:t>
      </w:r>
      <w:r w:rsidRPr="006F28AE">
        <w:t>nin</w:t>
      </w:r>
      <w:r w:rsidR="00CC7B03" w:rsidRPr="006F28AE">
        <w:t xml:space="preserve"> üçünü kez reddedil</w:t>
      </w:r>
      <w:r w:rsidRPr="006F28AE">
        <w:t xml:space="preserve">mesi, </w:t>
      </w:r>
      <w:r w:rsidR="00CC7B03" w:rsidRPr="006F28AE">
        <w:t xml:space="preserve"> </w:t>
      </w:r>
    </w:p>
    <w:p w:rsidR="00C05FCA" w:rsidRPr="006F28AE" w:rsidRDefault="00C05FCA" w:rsidP="00CC7B03">
      <w:pPr>
        <w:spacing w:before="120"/>
        <w:jc w:val="both"/>
      </w:pPr>
      <w:r w:rsidRPr="006F28AE">
        <w:tab/>
        <w:t>E.</w:t>
      </w:r>
      <w:r w:rsidR="00CC7B03" w:rsidRPr="006F28AE">
        <w:t>Yüksek lisans veya doktora tez çalışması ile ilgili dersten veya uzmanlık alan dersinden üst üste iki kez veya aralıklı olarak üç kez başarısız (YZ) notu al</w:t>
      </w:r>
      <w:r w:rsidRPr="006F28AE">
        <w:t xml:space="preserve">ınması, </w:t>
      </w:r>
    </w:p>
    <w:p w:rsidR="00CC7B03" w:rsidRPr="006F28AE" w:rsidRDefault="00C05FCA" w:rsidP="00CC7B03">
      <w:pPr>
        <w:spacing w:before="120"/>
        <w:jc w:val="both"/>
      </w:pPr>
      <w:r w:rsidRPr="006F28AE">
        <w:tab/>
        <w:t xml:space="preserve">F. </w:t>
      </w:r>
      <w:r w:rsidR="00CC7B03" w:rsidRPr="006F28AE">
        <w:t>Jüri tarafından tezi</w:t>
      </w:r>
      <w:r w:rsidRPr="006F28AE">
        <w:t>n</w:t>
      </w:r>
      <w:r w:rsidR="00CC7B03" w:rsidRPr="006F28AE">
        <w:t xml:space="preserve"> reddedil</w:t>
      </w:r>
      <w:r w:rsidRPr="006F28AE">
        <w:t>mesi</w:t>
      </w:r>
      <w:r w:rsidR="00CC7B03" w:rsidRPr="006F28AE">
        <w:t xml:space="preserve">, </w:t>
      </w:r>
    </w:p>
    <w:p w:rsidR="00CC7B03" w:rsidRPr="006F28AE" w:rsidRDefault="00C05FCA" w:rsidP="00CC7B03">
      <w:pPr>
        <w:spacing w:before="120"/>
        <w:jc w:val="both"/>
      </w:pPr>
      <w:r w:rsidRPr="006F28AE">
        <w:tab/>
        <w:t>G. D</w:t>
      </w:r>
      <w:r w:rsidR="00CC7B03" w:rsidRPr="006F28AE">
        <w:t>üzeltilmiş tezi jüri tarafından kabul edilme</w:t>
      </w:r>
      <w:r w:rsidRPr="006F28AE">
        <w:t>mesi</w:t>
      </w:r>
      <w:r w:rsidR="00CC7B03" w:rsidRPr="006F28AE">
        <w:t xml:space="preserve">, </w:t>
      </w:r>
    </w:p>
    <w:p w:rsidR="00CC7B03" w:rsidRPr="006F28AE" w:rsidRDefault="00C05FCA" w:rsidP="00CC7B03">
      <w:pPr>
        <w:spacing w:before="120"/>
        <w:jc w:val="both"/>
      </w:pPr>
      <w:r w:rsidRPr="006F28AE">
        <w:tab/>
        <w:t>Ğ. Programın</w:t>
      </w:r>
      <w:r w:rsidR="00CC7B03" w:rsidRPr="006F28AE">
        <w:t xml:space="preserve"> süresi içinde </w:t>
      </w:r>
      <w:r w:rsidRPr="006F28AE">
        <w:t>tamamlanmaması</w:t>
      </w:r>
      <w:r w:rsidR="00CC7B03" w:rsidRPr="006F28AE">
        <w:t xml:space="preserve">, </w:t>
      </w:r>
    </w:p>
    <w:p w:rsidR="00CC7B03" w:rsidRPr="006F28AE" w:rsidRDefault="00C05FCA" w:rsidP="00CC7B03">
      <w:pPr>
        <w:spacing w:before="120"/>
        <w:jc w:val="both"/>
      </w:pPr>
      <w:r w:rsidRPr="006F28AE">
        <w:tab/>
        <w:t>H.</w:t>
      </w:r>
      <w:r w:rsidR="00CC7B03" w:rsidRPr="006F28AE">
        <w:t xml:space="preserve"> Tez İzleme Komitesinden üst üste iki kez veya aralıklı olarak üç kez başarısız (TYZ) notu al</w:t>
      </w:r>
      <w:r w:rsidRPr="006F28AE">
        <w:t>ınması</w:t>
      </w:r>
      <w:r w:rsidR="00CC7B03" w:rsidRPr="006F28AE">
        <w:t xml:space="preserve">, </w:t>
      </w:r>
    </w:p>
    <w:p w:rsidR="00CC7B03" w:rsidRPr="006F28AE" w:rsidRDefault="00C05FCA" w:rsidP="00CC7B03">
      <w:pPr>
        <w:spacing w:before="120"/>
        <w:jc w:val="both"/>
      </w:pPr>
      <w:r w:rsidRPr="006F28AE">
        <w:tab/>
        <w:t xml:space="preserve">İ. </w:t>
      </w:r>
      <w:r w:rsidR="00CC7B03" w:rsidRPr="006F28AE">
        <w:t>Senato tarafından belirlenen esaslara göre haklı ve geçerli bir nedeni olmadan aynı programda kayıt yenileme işlemini</w:t>
      </w:r>
      <w:r w:rsidRPr="006F28AE">
        <w:t>n</w:t>
      </w:r>
      <w:r w:rsidR="00CC7B03" w:rsidRPr="006F28AE">
        <w:t xml:space="preserve"> iki defa yerine getir</w:t>
      </w:r>
      <w:r w:rsidRPr="006F28AE">
        <w:t>ilmemesi</w:t>
      </w:r>
      <w:r w:rsidR="00CC7B03" w:rsidRPr="006F28AE">
        <w:t xml:space="preserve">, </w:t>
      </w:r>
    </w:p>
    <w:p w:rsidR="00CC7B03" w:rsidRPr="006F28AE" w:rsidRDefault="00C05FCA" w:rsidP="00CC7B03">
      <w:pPr>
        <w:spacing w:before="120"/>
        <w:jc w:val="both"/>
      </w:pPr>
      <w:r w:rsidRPr="006F28AE">
        <w:tab/>
        <w:t xml:space="preserve">J. </w:t>
      </w:r>
      <w:r w:rsidR="00CC7B03" w:rsidRPr="006F28AE">
        <w:t>Yüksek lisans diploması ile doktoraya başvuran ve koşullarını yerine getirdiği halde 8. yarıyıl sonuna kadar yeterlik sınavına girmeyen doktora öğrencilerinin kaydı silinir.</w:t>
      </w:r>
    </w:p>
    <w:p w:rsidR="000D0FAB" w:rsidRPr="006F28AE" w:rsidRDefault="0053039F" w:rsidP="00D128E5">
      <w:pPr>
        <w:spacing w:before="120"/>
        <w:jc w:val="both"/>
        <w:rPr>
          <w:b/>
        </w:rPr>
      </w:pPr>
      <w:r w:rsidRPr="006F28AE">
        <w:rPr>
          <w:b/>
        </w:rPr>
        <w:t>M</w:t>
      </w:r>
      <w:r w:rsidR="00F83BA9" w:rsidRPr="006F28AE">
        <w:rPr>
          <w:b/>
        </w:rPr>
        <w:t xml:space="preserve">adde 21 </w:t>
      </w:r>
      <w:r w:rsidR="00E621B4" w:rsidRPr="006F28AE">
        <w:rPr>
          <w:b/>
        </w:rPr>
        <w:t>-</w:t>
      </w:r>
      <w:r w:rsidR="000D0FAB" w:rsidRPr="006F28AE">
        <w:rPr>
          <w:b/>
        </w:rPr>
        <w:t xml:space="preserve"> Sınav</w:t>
      </w:r>
      <w:r w:rsidR="00F83BA9" w:rsidRPr="006F28AE">
        <w:rPr>
          <w:b/>
        </w:rPr>
        <w:t>lar</w:t>
      </w:r>
      <w:r w:rsidR="000D0FAB" w:rsidRPr="006F28AE">
        <w:rPr>
          <w:b/>
        </w:rPr>
        <w:t xml:space="preserve"> ve Değerlendirme</w:t>
      </w:r>
      <w:r w:rsidR="00F83BA9" w:rsidRPr="006F28AE">
        <w:rPr>
          <w:b/>
        </w:rPr>
        <w:t xml:space="preserve"> Esasları</w:t>
      </w:r>
    </w:p>
    <w:p w:rsidR="00F83BA9" w:rsidRPr="006F28AE" w:rsidRDefault="00F83BA9" w:rsidP="00D128E5">
      <w:pPr>
        <w:spacing w:before="120"/>
        <w:jc w:val="both"/>
      </w:pPr>
      <w:r w:rsidRPr="006F28AE">
        <w:t xml:space="preserve">(1) </w:t>
      </w:r>
      <w:r w:rsidR="0053039F" w:rsidRPr="006F28AE">
        <w:t xml:space="preserve">Bir lisansüstü dersin kredi değeri, bir yarıyıl devam eden bir dersin haftalık teorik ders saatinin tamamı ile haftalık uygulama veya laboratuvar saatinin kredi karşılığının toplamıdır. Lisansüstü ders, uygulama ve diğer öğrenim etkinliklerinin değerlendirmesinde Avrupa Kredi Transfer Sistemi (AKTS) gibi kredilendirme sistemleri Enstitü Yönetim Kurulu tarafından uygulanır. </w:t>
      </w:r>
    </w:p>
    <w:p w:rsidR="00F83BA9" w:rsidRPr="006F28AE" w:rsidRDefault="00F83BA9" w:rsidP="00D128E5">
      <w:pPr>
        <w:spacing w:before="120"/>
        <w:jc w:val="both"/>
      </w:pPr>
      <w:r w:rsidRPr="006F28AE">
        <w:t xml:space="preserve">(2) </w:t>
      </w:r>
      <w:r w:rsidR="0053039F" w:rsidRPr="006F28AE">
        <w:t>Öğrencilerin sınavlara girebilmeleri için teorik derslerin %70'ine, uygulamaların ve/veya diğ</w:t>
      </w:r>
      <w:r w:rsidRPr="006F28AE">
        <w:t>er öğrenim etkinliklerinin %80'</w:t>
      </w:r>
      <w:r w:rsidR="0053039F" w:rsidRPr="006F28AE">
        <w:t xml:space="preserve">ine başarı ile devam etmiş olmaları gerekir. </w:t>
      </w:r>
    </w:p>
    <w:p w:rsidR="0053039F" w:rsidRPr="006F28AE" w:rsidRDefault="00F83BA9" w:rsidP="00D128E5">
      <w:pPr>
        <w:spacing w:before="120"/>
        <w:jc w:val="both"/>
      </w:pPr>
      <w:r w:rsidRPr="006F28AE">
        <w:t xml:space="preserve">(3) </w:t>
      </w:r>
      <w:r w:rsidR="0053039F" w:rsidRPr="006F28AE">
        <w:t xml:space="preserve">Lisansüstü programlar, ders veya dersler bazında haftalık veya dönemlik ders saatlerini,  </w:t>
      </w:r>
      <w:r w:rsidRPr="006F28AE">
        <w:t xml:space="preserve">Enstitü Yönetim Kurulu </w:t>
      </w:r>
      <w:r w:rsidR="0053039F" w:rsidRPr="006F28AE">
        <w:t>kararıyla her akademik dönemde yapılması zorunlu toplam ders saati esasına göre dersin içeriği ve yöntemine göre düzenle</w:t>
      </w:r>
      <w:r w:rsidRPr="006F28AE">
        <w:t>n</w:t>
      </w:r>
      <w:r w:rsidR="0053039F" w:rsidRPr="006F28AE">
        <w:t xml:space="preserve">ebilir.  Anabilim Dalı Akademik Kurulu kararı ile ara sınav başarı koşulu da aranabilir. Staj süreleri ve koşulları Anabilim Dalı önerisi </w:t>
      </w:r>
      <w:r w:rsidRPr="006F28AE">
        <w:t xml:space="preserve">ve </w:t>
      </w:r>
      <w:r w:rsidR="0053039F" w:rsidRPr="006F28AE">
        <w:t>Enstitü Yönetim Kurulu Kararı ile belirlenir.</w:t>
      </w:r>
    </w:p>
    <w:p w:rsidR="00F83BA9" w:rsidRPr="006F28AE" w:rsidRDefault="00F83BA9" w:rsidP="00F83BA9">
      <w:pPr>
        <w:spacing w:before="120"/>
        <w:jc w:val="both"/>
      </w:pPr>
      <w:r w:rsidRPr="006F28AE">
        <w:t>(4) Her ders için yazılı olarak en az bir dönem içi sınavı ve dönem sonu sınavı yapılır. Bununla birlikte uygulamalı dersler için sadece dönem sonu sınavı yapılabilir. Enstitü yönetim kurulu, sınavın/sınavların sözlü veya pratik çalışma olarak yapılmasına karar verebilir.</w:t>
      </w:r>
    </w:p>
    <w:p w:rsidR="00F83BA9" w:rsidRPr="006F28AE" w:rsidRDefault="00F83BA9" w:rsidP="00F83BA9">
      <w:pPr>
        <w:spacing w:before="120"/>
        <w:jc w:val="both"/>
      </w:pPr>
      <w:r w:rsidRPr="006F28AE">
        <w:t>(5) Sınav tarihleri, anabilim/anasanat dalı başkanlığının önerisiyle enstitü yönetim kurulu tarafından belirlenir ve sınavlardan en az 15 gün önce öğrencilere ilan edilir.</w:t>
      </w:r>
    </w:p>
    <w:p w:rsidR="00F83BA9" w:rsidRPr="006F28AE" w:rsidRDefault="00F83BA9" w:rsidP="00F83BA9">
      <w:pPr>
        <w:spacing w:before="120"/>
        <w:jc w:val="both"/>
      </w:pPr>
      <w:r w:rsidRPr="006F28AE">
        <w:t>(6) Öğrencinin, bir dersin dönem sonu sınavına girebilmesi için devam koşulunu yerine getirmesi gerekir.</w:t>
      </w:r>
    </w:p>
    <w:p w:rsidR="00F83BA9" w:rsidRPr="006F28AE" w:rsidRDefault="00F83BA9" w:rsidP="00F83BA9">
      <w:pPr>
        <w:spacing w:before="120"/>
        <w:jc w:val="both"/>
      </w:pPr>
      <w:r w:rsidRPr="006F28AE">
        <w:t>(7) Öğrencinin her bir dersten başarısı, dönem içi notuyla/notlarıyla dönem sonu sınav notunun birlikte değerlendirilmesiyle belirlenir. Dönem içi notları; ara sınav notu/notları ve/veya ödevlere, uygulamalara ve pratik çalışmalara verilen notlardan oluşur.</w:t>
      </w:r>
    </w:p>
    <w:p w:rsidR="00F83BA9" w:rsidRPr="006F28AE" w:rsidRDefault="00F83BA9" w:rsidP="00F83BA9">
      <w:pPr>
        <w:spacing w:before="120"/>
        <w:jc w:val="both"/>
      </w:pPr>
      <w:r w:rsidRPr="006F28AE">
        <w:t>(8) Başarı notu; dönem içi ve dönem sonu notlarıyla, notların yüzdelik bilgileri dikkate alınarak hesaplanır.</w:t>
      </w:r>
    </w:p>
    <w:p w:rsidR="00F83BA9" w:rsidRPr="006F28AE" w:rsidRDefault="00F83BA9" w:rsidP="00F83BA9">
      <w:pPr>
        <w:spacing w:before="120"/>
        <w:jc w:val="both"/>
      </w:pPr>
      <w:r w:rsidRPr="006F28AE">
        <w:t>(9) Dönem içi ve dönem sonu sınavlarından herhangi birine Senato tarafından belirlenmiş haklı ve geçerli nedenlerden biri nedeniyle katılamayan öğrenciler için ilgili enstitü yönetim kurulu kararıyla mazeret sınavı yapılır.</w:t>
      </w:r>
    </w:p>
    <w:p w:rsidR="00F83BA9" w:rsidRPr="006F28AE" w:rsidRDefault="00F83BA9" w:rsidP="00F83BA9">
      <w:pPr>
        <w:spacing w:before="120"/>
        <w:jc w:val="both"/>
      </w:pPr>
      <w:r w:rsidRPr="006F28AE">
        <w:t>(10) Öğrencinin mazeret sınavına girebilmesi için mazerete konu olan dersin/derslerin sınavının/sınavlarının yapıldığı tarihi izleyen beş işgünü içinde mazeretini gösterir belgeyi, bir dilekçeyle birlikte kayıtlı olduğu enstitüye teslim etmesi gerekir.</w:t>
      </w:r>
    </w:p>
    <w:p w:rsidR="00CC5561" w:rsidRPr="006F28AE" w:rsidRDefault="00CC5561" w:rsidP="00CC5561">
      <w:pPr>
        <w:spacing w:before="120"/>
        <w:jc w:val="both"/>
      </w:pPr>
      <w:r w:rsidRPr="006F28AE">
        <w:t xml:space="preserve">(11) Yarıyıl sonu sınavına girme şartlarını haiz olduğu halde girmeyen veya başarısız olan öğrenciye, yarıyıl sonu sınavından sonra telafi sınavı yapılır. </w:t>
      </w:r>
    </w:p>
    <w:p w:rsidR="00F83BA9" w:rsidRPr="006F28AE" w:rsidRDefault="00F83BA9" w:rsidP="00F83BA9">
      <w:pPr>
        <w:spacing w:before="120"/>
        <w:jc w:val="both"/>
      </w:pPr>
      <w:r w:rsidRPr="006F28AE">
        <w:t>(1</w:t>
      </w:r>
      <w:r w:rsidR="00CC5561" w:rsidRPr="006F28AE">
        <w:t>2</w:t>
      </w:r>
      <w:r w:rsidRPr="006F28AE">
        <w:t>) Dersten sorumlu öğretim elemanı, sınav notlarını öğrenci bilgi sisteminde onayladıktan sonraki beş işgünü içinde sınav evrakıyla birlikte arşiv birimine ve öğrenci işlerine teslim eder. Sınav evrakı, sınav tarihinden itibaren en az iki yıl süreyle saklanır.</w:t>
      </w:r>
    </w:p>
    <w:p w:rsidR="000D0FAB" w:rsidRPr="006F28AE" w:rsidRDefault="0053039F" w:rsidP="00D128E5">
      <w:pPr>
        <w:spacing w:before="120"/>
        <w:jc w:val="both"/>
        <w:rPr>
          <w:b/>
        </w:rPr>
      </w:pPr>
      <w:r w:rsidRPr="006F28AE">
        <w:rPr>
          <w:b/>
        </w:rPr>
        <w:t>M</w:t>
      </w:r>
      <w:r w:rsidR="00F83BA9" w:rsidRPr="006F28AE">
        <w:rPr>
          <w:b/>
        </w:rPr>
        <w:t>adde</w:t>
      </w:r>
      <w:r w:rsidRPr="006F28AE">
        <w:rPr>
          <w:b/>
        </w:rPr>
        <w:t xml:space="preserve"> </w:t>
      </w:r>
      <w:r w:rsidR="00F83BA9" w:rsidRPr="006F28AE">
        <w:rPr>
          <w:b/>
        </w:rPr>
        <w:t xml:space="preserve">22 - </w:t>
      </w:r>
      <w:r w:rsidR="000D0FAB" w:rsidRPr="006F28AE">
        <w:rPr>
          <w:b/>
        </w:rPr>
        <w:t>Başarının Değerlendirilmesi</w:t>
      </w:r>
    </w:p>
    <w:p w:rsidR="00F83BA9" w:rsidRPr="006F28AE" w:rsidRDefault="00F83BA9" w:rsidP="00F83BA9">
      <w:pPr>
        <w:spacing w:before="120"/>
        <w:jc w:val="both"/>
      </w:pPr>
      <w:r w:rsidRPr="006F28AE">
        <w:t>(1) Dersler ve bunların haftalık teorik ve uygulama saatleri, AKTS kredi değerleri ve varsa bir dersin alınabilmesi için önceden alınıp başarılması gereken dersler veya önkoşullar ile derslerin yarıyıllara veya yıllara göre dağılımı, ilgili enstitü kurulu kararı ve Senatonun onayı ile belirlenir.</w:t>
      </w:r>
    </w:p>
    <w:p w:rsidR="00F83BA9" w:rsidRPr="006F28AE" w:rsidRDefault="00F83BA9" w:rsidP="00F83BA9">
      <w:pPr>
        <w:spacing w:before="120"/>
        <w:jc w:val="both"/>
      </w:pPr>
      <w:r w:rsidRPr="006F28AE">
        <w:t>(2) Dönem içi ve dönem sonu sınavları, ödev, uygulama ve benzeri değerlendirmelerin türü ile yüzdelikleri, dersi veren öğretim elemanı tarafından dönemin ilk iki haftası içinde öğrenci bilişim sistemi veri tabanına girilerek İnternet üzerinden dersin tanıtım sayfasında öğrencilere duyurulur.</w:t>
      </w:r>
    </w:p>
    <w:p w:rsidR="00F83BA9" w:rsidRPr="006F28AE" w:rsidRDefault="00F83BA9" w:rsidP="00F83BA9">
      <w:pPr>
        <w:spacing w:before="120"/>
        <w:jc w:val="both"/>
      </w:pPr>
      <w:r w:rsidRPr="006F28AE">
        <w:t>(3) Dönem içi değerlendirmelerin başarı notuna katkısı; %30’dan az, %70’ten fazla olamaz. Sadece dönem sonu sınavı yapılan uygulamalı derslerde, dönem sonu sınavının başarı notuna katkısı %100’dür.</w:t>
      </w:r>
    </w:p>
    <w:p w:rsidR="00F83BA9" w:rsidRPr="006F28AE" w:rsidRDefault="00F83BA9" w:rsidP="00F83BA9">
      <w:pPr>
        <w:spacing w:before="120"/>
        <w:jc w:val="both"/>
      </w:pPr>
      <w:r w:rsidRPr="006F28AE">
        <w:t>(4) Öğrencinin ders başarısı, o dersi alan tüm öğrencilerin genel başarı düzeyi de göz önüne alınarak dersi veren öğretim elemanı tarafından harf notuyla belirlenir.</w:t>
      </w:r>
    </w:p>
    <w:p w:rsidR="00F83BA9" w:rsidRPr="006F28AE" w:rsidRDefault="00CC5561" w:rsidP="00F83BA9">
      <w:pPr>
        <w:spacing w:before="120"/>
        <w:jc w:val="both"/>
      </w:pPr>
      <w:r w:rsidRPr="006F28AE">
        <w:t>(5) Herhangi bir dersten yarıyıl sonu veya telafi sınav notu yüksek lisansta CC, doktorada CB’den düşük olamaz. Herhangi bir dersten başarı notu yüksek lisansta CB, doktorada BB’den düşük olamaz.</w:t>
      </w:r>
    </w:p>
    <w:p w:rsidR="0053039F" w:rsidRPr="006F28AE" w:rsidRDefault="0053039F" w:rsidP="00D128E5">
      <w:pPr>
        <w:spacing w:before="120"/>
        <w:jc w:val="both"/>
      </w:pPr>
      <w:r w:rsidRPr="006F28AE">
        <w:t>(</w:t>
      </w:r>
      <w:r w:rsidR="00CC5561" w:rsidRPr="006F28AE">
        <w:t>6</w:t>
      </w:r>
      <w:r w:rsidRPr="006F28AE">
        <w:t xml:space="preserve">) </w:t>
      </w:r>
      <w:r w:rsidR="00CC5561" w:rsidRPr="006F28AE">
        <w:t>Yüzlük</w:t>
      </w:r>
      <w:r w:rsidRPr="006F28AE">
        <w:t xml:space="preserve"> sistemde verilen notların harflik ve </w:t>
      </w:r>
      <w:r w:rsidR="00CC5561" w:rsidRPr="006F28AE">
        <w:t>dörtl</w:t>
      </w:r>
      <w:r w:rsidRPr="006F28AE">
        <w:t xml:space="preserve">ük sisteme; harflik ve </w:t>
      </w:r>
      <w:r w:rsidR="00CC5561" w:rsidRPr="006F28AE">
        <w:t>dörtlük sistemde verilen notların ise yüzlük</w:t>
      </w:r>
      <w:r w:rsidRPr="006F28AE">
        <w:t xml:space="preserve"> sisteme dönüştürülmesi </w:t>
      </w:r>
      <w:r w:rsidR="00743D81" w:rsidRPr="006F28AE">
        <w:t>Tablo 1’deki değerlendirmeye</w:t>
      </w:r>
      <w:r w:rsidRPr="006F28AE">
        <w:t xml:space="preserve"> göre yapılır. </w:t>
      </w:r>
    </w:p>
    <w:p w:rsidR="00EF3E81" w:rsidRPr="006F28AE" w:rsidRDefault="00EF3E81" w:rsidP="00EF3E81">
      <w:pPr>
        <w:jc w:val="both"/>
      </w:pPr>
    </w:p>
    <w:p w:rsidR="00EF3E81" w:rsidRPr="006F28AE" w:rsidRDefault="00EF3E81" w:rsidP="00EF3E81">
      <w:pPr>
        <w:jc w:val="both"/>
      </w:pPr>
      <w:r w:rsidRPr="006F28AE">
        <w:t>Tablo 1. Mutlak değerlendirme sistemindeki başarı notu derecelerinin harf notu ve puan karşılıkları</w:t>
      </w:r>
    </w:p>
    <w:tbl>
      <w:tblPr>
        <w:tblStyle w:val="TableGrid"/>
        <w:tblW w:w="9072" w:type="dxa"/>
        <w:tblInd w:w="108" w:type="dxa"/>
        <w:tblLook w:val="04A0" w:firstRow="1" w:lastRow="0" w:firstColumn="1" w:lastColumn="0" w:noHBand="0" w:noVBand="1"/>
      </w:tblPr>
      <w:tblGrid>
        <w:gridCol w:w="1560"/>
        <w:gridCol w:w="1559"/>
        <w:gridCol w:w="1559"/>
        <w:gridCol w:w="2552"/>
        <w:gridCol w:w="1842"/>
      </w:tblGrid>
      <w:tr w:rsidR="00CB3245" w:rsidRPr="006F28AE" w:rsidTr="004E3206">
        <w:tc>
          <w:tcPr>
            <w:tcW w:w="1560" w:type="dxa"/>
            <w:vAlign w:val="center"/>
          </w:tcPr>
          <w:p w:rsidR="00CB3245" w:rsidRPr="006F28AE" w:rsidRDefault="00CB3245" w:rsidP="004E3206">
            <w:pPr>
              <w:jc w:val="center"/>
              <w:rPr>
                <w:rFonts w:ascii="Times New Roman" w:hAnsi="Times New Roman" w:cs="Times New Roman"/>
                <w:lang w:eastAsia="tr-TR"/>
              </w:rPr>
            </w:pPr>
            <w:r w:rsidRPr="006F28AE">
              <w:rPr>
                <w:rFonts w:ascii="Times New Roman" w:hAnsi="Times New Roman" w:cs="Times New Roman"/>
                <w:bCs/>
                <w:lang w:eastAsia="tr-TR"/>
              </w:rPr>
              <w:t>Başarı Notu</w:t>
            </w:r>
          </w:p>
        </w:tc>
        <w:tc>
          <w:tcPr>
            <w:tcW w:w="1559" w:type="dxa"/>
            <w:vAlign w:val="center"/>
          </w:tcPr>
          <w:p w:rsidR="00CB3245" w:rsidRPr="006F28AE" w:rsidRDefault="00CB3245" w:rsidP="004E3206">
            <w:pPr>
              <w:jc w:val="center"/>
              <w:rPr>
                <w:rFonts w:ascii="Times New Roman" w:hAnsi="Times New Roman" w:cs="Times New Roman"/>
                <w:lang w:eastAsia="tr-TR"/>
              </w:rPr>
            </w:pPr>
            <w:r w:rsidRPr="006F28AE">
              <w:rPr>
                <w:rFonts w:ascii="Times New Roman" w:hAnsi="Times New Roman" w:cs="Times New Roman"/>
                <w:bCs/>
                <w:lang w:eastAsia="tr-TR"/>
              </w:rPr>
              <w:t>Harf Notu</w:t>
            </w:r>
          </w:p>
        </w:tc>
        <w:tc>
          <w:tcPr>
            <w:tcW w:w="1559" w:type="dxa"/>
            <w:vAlign w:val="center"/>
            <w:hideMark/>
          </w:tcPr>
          <w:p w:rsidR="00CB3245" w:rsidRPr="006F28AE" w:rsidRDefault="00CB3245" w:rsidP="004E3206">
            <w:pPr>
              <w:jc w:val="center"/>
              <w:rPr>
                <w:rFonts w:ascii="Times New Roman" w:hAnsi="Times New Roman" w:cs="Times New Roman"/>
                <w:lang w:eastAsia="tr-TR"/>
              </w:rPr>
            </w:pPr>
            <w:r w:rsidRPr="006F28AE">
              <w:rPr>
                <w:rFonts w:ascii="Times New Roman" w:hAnsi="Times New Roman" w:cs="Times New Roman"/>
                <w:lang w:eastAsia="tr-TR"/>
              </w:rPr>
              <w:t>AKTS Notu</w:t>
            </w:r>
          </w:p>
        </w:tc>
        <w:tc>
          <w:tcPr>
            <w:tcW w:w="2552" w:type="dxa"/>
          </w:tcPr>
          <w:p w:rsidR="00CB3245" w:rsidRPr="006F28AE" w:rsidRDefault="00CB3245" w:rsidP="004E3206">
            <w:pPr>
              <w:jc w:val="center"/>
              <w:rPr>
                <w:rFonts w:ascii="Times New Roman" w:hAnsi="Times New Roman" w:cs="Times New Roman"/>
                <w:bCs/>
                <w:lang w:eastAsia="tr-TR"/>
              </w:rPr>
            </w:pPr>
            <w:r w:rsidRPr="006F28AE">
              <w:rPr>
                <w:rFonts w:ascii="Times New Roman" w:hAnsi="Times New Roman" w:cs="Times New Roman"/>
                <w:bCs/>
                <w:lang w:eastAsia="tr-TR"/>
              </w:rPr>
              <w:t>Anlamı</w:t>
            </w:r>
          </w:p>
        </w:tc>
        <w:tc>
          <w:tcPr>
            <w:tcW w:w="1842" w:type="dxa"/>
            <w:vAlign w:val="center"/>
            <w:hideMark/>
          </w:tcPr>
          <w:p w:rsidR="00CB3245" w:rsidRPr="006F28AE" w:rsidRDefault="00CB3245" w:rsidP="004E3206">
            <w:pPr>
              <w:jc w:val="center"/>
              <w:rPr>
                <w:rFonts w:ascii="Times New Roman" w:hAnsi="Times New Roman" w:cs="Times New Roman"/>
                <w:lang w:eastAsia="tr-TR"/>
              </w:rPr>
            </w:pPr>
            <w:r w:rsidRPr="006F28AE">
              <w:rPr>
                <w:rFonts w:ascii="Times New Roman" w:hAnsi="Times New Roman" w:cs="Times New Roman"/>
                <w:bCs/>
                <w:lang w:eastAsia="tr-TR"/>
              </w:rPr>
              <w:t>Not Aralıkları</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4.00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AA</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A</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Başarılı</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91-100</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3.50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Başarılı</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84-90</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3.00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BB</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C</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Başarılı</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76-83</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2.50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CB</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D</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Başarılı</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68-75</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2.00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CC</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E</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Başarılı</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59-67</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1.50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DC</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Başarısız</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51-58</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1.00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DD</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Başarısız</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41-50</w:t>
            </w:r>
          </w:p>
        </w:tc>
      </w:tr>
      <w:tr w:rsidR="00CB3245" w:rsidRPr="006F28AE" w:rsidTr="004E3206">
        <w:tc>
          <w:tcPr>
            <w:tcW w:w="1560"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0.00 -0.50</w:t>
            </w:r>
          </w:p>
        </w:tc>
        <w:tc>
          <w:tcPr>
            <w:tcW w:w="1559" w:type="dxa"/>
            <w:vAlign w:val="bottom"/>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FF</w:t>
            </w:r>
          </w:p>
        </w:tc>
        <w:tc>
          <w:tcPr>
            <w:tcW w:w="1559" w:type="dxa"/>
            <w:vAlign w:val="bottom"/>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FX</w:t>
            </w:r>
          </w:p>
        </w:tc>
        <w:tc>
          <w:tcPr>
            <w:tcW w:w="2552" w:type="dxa"/>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Başarısız</w:t>
            </w:r>
          </w:p>
        </w:tc>
        <w:tc>
          <w:tcPr>
            <w:tcW w:w="1842" w:type="dxa"/>
            <w:vAlign w:val="center"/>
            <w:hideMark/>
          </w:tcPr>
          <w:p w:rsidR="00CB3245" w:rsidRPr="006F28AE" w:rsidRDefault="00CB3245" w:rsidP="004E3206">
            <w:pPr>
              <w:jc w:val="center"/>
              <w:rPr>
                <w:rFonts w:ascii="Times New Roman" w:hAnsi="Times New Roman" w:cs="Times New Roman"/>
                <w:color w:val="000000"/>
              </w:rPr>
            </w:pPr>
            <w:r w:rsidRPr="006F28AE">
              <w:rPr>
                <w:rFonts w:ascii="Times New Roman" w:hAnsi="Times New Roman" w:cs="Times New Roman"/>
                <w:color w:val="000000"/>
              </w:rPr>
              <w:t>0-40</w:t>
            </w:r>
          </w:p>
        </w:tc>
      </w:tr>
    </w:tbl>
    <w:p w:rsidR="00743D81" w:rsidRPr="006F28AE" w:rsidRDefault="00743D81" w:rsidP="00743D81">
      <w:pPr>
        <w:spacing w:before="120"/>
        <w:jc w:val="both"/>
      </w:pPr>
      <w:r w:rsidRPr="006F28AE">
        <w:t>(7)</w:t>
      </w:r>
      <w:r w:rsidR="0053039F" w:rsidRPr="006F28AE">
        <w:t xml:space="preserve"> </w:t>
      </w:r>
      <w:r w:rsidRPr="006F28AE">
        <w:t>Harf notlarına ilave olarak kullanılan harfler ve açıklamaları aşağıda belirtilmiştir</w:t>
      </w:r>
    </w:p>
    <w:p w:rsidR="0053039F" w:rsidRPr="006F28AE" w:rsidRDefault="00743D81" w:rsidP="00743D81">
      <w:pPr>
        <w:spacing w:before="120"/>
        <w:jc w:val="both"/>
      </w:pPr>
      <w:r w:rsidRPr="006F28AE">
        <w:tab/>
        <w:t>A.</w:t>
      </w:r>
      <w:r w:rsidR="0053039F" w:rsidRPr="006F28AE">
        <w:t xml:space="preserve"> </w:t>
      </w:r>
      <w:r w:rsidRPr="006F28AE">
        <w:t>“</w:t>
      </w:r>
      <w:r w:rsidR="0053039F" w:rsidRPr="006F28AE">
        <w:t>FF</w:t>
      </w:r>
      <w:r w:rsidRPr="006F28AE">
        <w:t>”</w:t>
      </w:r>
      <w:r w:rsidR="0053039F" w:rsidRPr="006F28AE">
        <w:t xml:space="preserve"> Başarısız.</w:t>
      </w:r>
    </w:p>
    <w:p w:rsidR="0053039F" w:rsidRPr="006F28AE" w:rsidRDefault="00743D81" w:rsidP="00D128E5">
      <w:pPr>
        <w:spacing w:before="120"/>
        <w:jc w:val="both"/>
      </w:pPr>
      <w:r w:rsidRPr="006F28AE">
        <w:tab/>
        <w:t>B.</w:t>
      </w:r>
      <w:r w:rsidR="0053039F" w:rsidRPr="006F28AE">
        <w:t xml:space="preserve"> </w:t>
      </w:r>
      <w:r w:rsidRPr="006F28AE">
        <w:t>“</w:t>
      </w:r>
      <w:r w:rsidR="0053039F" w:rsidRPr="006F28AE">
        <w:t>G</w:t>
      </w:r>
      <w:r w:rsidRPr="006F28AE">
        <w:t>”</w:t>
      </w:r>
      <w:r w:rsidR="0053039F" w:rsidRPr="006F28AE">
        <w:t xml:space="preserve"> Geçer. Derecelenme dışı.</w:t>
      </w:r>
    </w:p>
    <w:p w:rsidR="0053039F" w:rsidRPr="006F28AE" w:rsidRDefault="00743D81" w:rsidP="00D128E5">
      <w:pPr>
        <w:spacing w:before="120"/>
        <w:jc w:val="both"/>
      </w:pPr>
      <w:r w:rsidRPr="006F28AE">
        <w:tab/>
        <w:t>C. “</w:t>
      </w:r>
      <w:r w:rsidR="0053039F" w:rsidRPr="006F28AE">
        <w:t>M</w:t>
      </w:r>
      <w:r w:rsidRPr="006F28AE">
        <w:t>”</w:t>
      </w:r>
      <w:r w:rsidR="0053039F" w:rsidRPr="006F28AE">
        <w:t xml:space="preserve"> Muaf. Derecelenme dışı.</w:t>
      </w:r>
    </w:p>
    <w:p w:rsidR="0053039F" w:rsidRPr="006F28AE" w:rsidRDefault="00743D81" w:rsidP="00743D81">
      <w:pPr>
        <w:spacing w:before="120"/>
        <w:ind w:firstLine="720"/>
        <w:jc w:val="both"/>
      </w:pPr>
      <w:r w:rsidRPr="006F28AE">
        <w:t>Ç. “</w:t>
      </w:r>
      <w:r w:rsidR="0053039F" w:rsidRPr="006F28AE">
        <w:t>K</w:t>
      </w:r>
      <w:r w:rsidRPr="006F28AE">
        <w:t>”</w:t>
      </w:r>
      <w:r w:rsidR="0053039F" w:rsidRPr="006F28AE">
        <w:t xml:space="preserve"> Kalır.</w:t>
      </w:r>
    </w:p>
    <w:p w:rsidR="0053039F" w:rsidRPr="006F28AE" w:rsidRDefault="00743D81" w:rsidP="00743D81">
      <w:pPr>
        <w:spacing w:before="120"/>
        <w:ind w:firstLine="720"/>
        <w:jc w:val="both"/>
      </w:pPr>
      <w:r w:rsidRPr="006F28AE">
        <w:t>D. “</w:t>
      </w:r>
      <w:r w:rsidR="0053039F" w:rsidRPr="006F28AE">
        <w:t>YT</w:t>
      </w:r>
      <w:r w:rsidRPr="006F28AE">
        <w:t>”</w:t>
      </w:r>
      <w:r w:rsidR="0053039F" w:rsidRPr="006F28AE">
        <w:t xml:space="preserve"> Yeterli. Kredisiz derslerden başarılı.</w:t>
      </w:r>
    </w:p>
    <w:p w:rsidR="0053039F" w:rsidRPr="006F28AE" w:rsidRDefault="00743D81" w:rsidP="00743D81">
      <w:pPr>
        <w:spacing w:before="120"/>
        <w:ind w:firstLine="720"/>
        <w:jc w:val="both"/>
      </w:pPr>
      <w:r w:rsidRPr="006F28AE">
        <w:t>E. “</w:t>
      </w:r>
      <w:r w:rsidR="0053039F" w:rsidRPr="006F28AE">
        <w:t>YZ</w:t>
      </w:r>
      <w:r w:rsidRPr="006F28AE">
        <w:t>”</w:t>
      </w:r>
      <w:r w:rsidR="0053039F" w:rsidRPr="006F28AE">
        <w:t xml:space="preserve"> Yetersiz. Kredisiz derslerden başarısız.</w:t>
      </w:r>
    </w:p>
    <w:p w:rsidR="0053039F" w:rsidRPr="006F28AE" w:rsidRDefault="00743D81" w:rsidP="00D128E5">
      <w:pPr>
        <w:spacing w:before="120"/>
        <w:jc w:val="both"/>
      </w:pPr>
      <w:r w:rsidRPr="006F28AE">
        <w:tab/>
        <w:t>F. “</w:t>
      </w:r>
      <w:r w:rsidR="0053039F" w:rsidRPr="006F28AE">
        <w:t>E</w:t>
      </w:r>
      <w:r w:rsidRPr="006F28AE">
        <w:t>”</w:t>
      </w:r>
      <w:r w:rsidR="0053039F" w:rsidRPr="006F28AE">
        <w:t xml:space="preserve"> Eksik.</w:t>
      </w:r>
    </w:p>
    <w:p w:rsidR="0053039F" w:rsidRPr="006F28AE" w:rsidRDefault="00743D81" w:rsidP="00D128E5">
      <w:pPr>
        <w:spacing w:before="120"/>
        <w:jc w:val="both"/>
      </w:pPr>
      <w:r w:rsidRPr="006F28AE">
        <w:tab/>
        <w:t>G. “</w:t>
      </w:r>
      <w:r w:rsidR="0053039F" w:rsidRPr="006F28AE">
        <w:t>NK</w:t>
      </w:r>
      <w:r w:rsidRPr="006F28AE">
        <w:t>”</w:t>
      </w:r>
      <w:r w:rsidR="0053039F" w:rsidRPr="006F28AE">
        <w:t xml:space="preserve"> Not ortalamasına katılmayan.</w:t>
      </w:r>
    </w:p>
    <w:p w:rsidR="0053039F" w:rsidRPr="006F28AE" w:rsidRDefault="00743D81" w:rsidP="00743D81">
      <w:pPr>
        <w:spacing w:before="120"/>
        <w:ind w:firstLine="720"/>
        <w:jc w:val="both"/>
      </w:pPr>
      <w:r w:rsidRPr="006F28AE">
        <w:t>Ğ. “</w:t>
      </w:r>
      <w:r w:rsidR="0053039F" w:rsidRPr="006F28AE">
        <w:t>TD</w:t>
      </w:r>
      <w:r w:rsidRPr="006F28AE">
        <w:t>”</w:t>
      </w:r>
      <w:r w:rsidR="0053039F" w:rsidRPr="006F28AE">
        <w:t xml:space="preserve"> Tez devam.</w:t>
      </w:r>
    </w:p>
    <w:p w:rsidR="0053039F" w:rsidRPr="006F28AE" w:rsidRDefault="00743D81" w:rsidP="00743D81">
      <w:pPr>
        <w:spacing w:before="120"/>
        <w:ind w:firstLine="720"/>
        <w:jc w:val="both"/>
      </w:pPr>
      <w:r w:rsidRPr="006F28AE">
        <w:t>H. “</w:t>
      </w:r>
      <w:r w:rsidR="0053039F" w:rsidRPr="006F28AE">
        <w:t>TDZ</w:t>
      </w:r>
      <w:r w:rsidRPr="006F28AE">
        <w:t>”</w:t>
      </w:r>
      <w:r w:rsidR="0053039F" w:rsidRPr="006F28AE">
        <w:t xml:space="preserve"> Tez devamsız.</w:t>
      </w:r>
    </w:p>
    <w:p w:rsidR="0053039F" w:rsidRPr="006F28AE" w:rsidRDefault="00743D81" w:rsidP="00743D81">
      <w:pPr>
        <w:spacing w:before="120"/>
        <w:ind w:firstLine="720"/>
        <w:jc w:val="both"/>
      </w:pPr>
      <w:r w:rsidRPr="006F28AE">
        <w:t>I. “</w:t>
      </w:r>
      <w:r w:rsidR="0053039F" w:rsidRPr="006F28AE">
        <w:t>TİB</w:t>
      </w:r>
      <w:r w:rsidRPr="006F28AE">
        <w:t>”</w:t>
      </w:r>
      <w:r w:rsidR="0053039F" w:rsidRPr="006F28AE">
        <w:t xml:space="preserve"> Tez </w:t>
      </w:r>
      <w:r w:rsidR="00DB3899" w:rsidRPr="006F28AE">
        <w:t>İ</w:t>
      </w:r>
      <w:r w:rsidR="0053039F" w:rsidRPr="006F28AE">
        <w:t>zleme</w:t>
      </w:r>
      <w:r w:rsidR="00DB3899" w:rsidRPr="006F28AE">
        <w:t xml:space="preserve"> </w:t>
      </w:r>
      <w:r w:rsidR="0053039F" w:rsidRPr="006F28AE">
        <w:t>Başarılı.</w:t>
      </w:r>
    </w:p>
    <w:p w:rsidR="0053039F" w:rsidRPr="006F28AE" w:rsidRDefault="00743D81" w:rsidP="00D128E5">
      <w:pPr>
        <w:spacing w:before="120"/>
        <w:jc w:val="both"/>
      </w:pPr>
      <w:r w:rsidRPr="006F28AE">
        <w:tab/>
        <w:t>İ.</w:t>
      </w:r>
      <w:r w:rsidR="0053039F" w:rsidRPr="006F28AE">
        <w:t xml:space="preserve"> </w:t>
      </w:r>
      <w:r w:rsidRPr="006F28AE">
        <w:t>“</w:t>
      </w:r>
      <w:r w:rsidR="0053039F" w:rsidRPr="006F28AE">
        <w:t>TİK</w:t>
      </w:r>
      <w:r w:rsidRPr="006F28AE">
        <w:t>”</w:t>
      </w:r>
      <w:r w:rsidR="0053039F" w:rsidRPr="006F28AE">
        <w:t>: Tez İzleme</w:t>
      </w:r>
      <w:r w:rsidRPr="006F28AE">
        <w:t xml:space="preserve">den </w:t>
      </w:r>
      <w:r w:rsidR="00DB3899" w:rsidRPr="006F28AE">
        <w:t>K</w:t>
      </w:r>
      <w:r w:rsidRPr="006F28AE">
        <w:t>aldı/</w:t>
      </w:r>
      <w:r w:rsidR="00DB3899" w:rsidRPr="006F28AE">
        <w:t>Başarısız.</w:t>
      </w:r>
    </w:p>
    <w:p w:rsidR="0053039F" w:rsidRPr="006F28AE" w:rsidRDefault="00743D81" w:rsidP="00D128E5">
      <w:pPr>
        <w:spacing w:before="120"/>
        <w:jc w:val="both"/>
      </w:pPr>
      <w:r w:rsidRPr="006F28AE">
        <w:tab/>
        <w:t>J. “</w:t>
      </w:r>
      <w:r w:rsidR="0053039F" w:rsidRPr="006F28AE">
        <w:t>TYT</w:t>
      </w:r>
      <w:r w:rsidRPr="006F28AE">
        <w:t>”</w:t>
      </w:r>
      <w:r w:rsidR="0053039F" w:rsidRPr="006F28AE">
        <w:t xml:space="preserve">: Tez </w:t>
      </w:r>
      <w:r w:rsidRPr="006F28AE">
        <w:t>Y</w:t>
      </w:r>
      <w:r w:rsidR="0053039F" w:rsidRPr="006F28AE">
        <w:t>eterlik</w:t>
      </w:r>
      <w:r w:rsidRPr="006F28AE">
        <w:t xml:space="preserve"> </w:t>
      </w:r>
      <w:r w:rsidR="00DB3899" w:rsidRPr="006F28AE">
        <w:t>Y</w:t>
      </w:r>
      <w:r w:rsidRPr="006F28AE">
        <w:t>eterli/</w:t>
      </w:r>
      <w:r w:rsidR="00DB3899" w:rsidRPr="006F28AE">
        <w:t>Başarılı.</w:t>
      </w:r>
    </w:p>
    <w:p w:rsidR="0053039F" w:rsidRPr="006F28AE" w:rsidRDefault="00743D81" w:rsidP="00D128E5">
      <w:pPr>
        <w:spacing w:before="120"/>
        <w:jc w:val="both"/>
      </w:pPr>
      <w:r w:rsidRPr="006F28AE">
        <w:tab/>
        <w:t>K. “</w:t>
      </w:r>
      <w:r w:rsidR="0053039F" w:rsidRPr="006F28AE">
        <w:t>TYZ</w:t>
      </w:r>
      <w:r w:rsidRPr="006F28AE">
        <w:t>”</w:t>
      </w:r>
      <w:r w:rsidR="0053039F" w:rsidRPr="006F28AE">
        <w:t xml:space="preserve"> Tez </w:t>
      </w:r>
      <w:r w:rsidR="00DB3899" w:rsidRPr="006F28AE">
        <w:t>Y</w:t>
      </w:r>
      <w:r w:rsidR="0053039F" w:rsidRPr="006F28AE">
        <w:t>eterlik</w:t>
      </w:r>
      <w:r w:rsidR="00DB3899" w:rsidRPr="006F28AE">
        <w:t xml:space="preserve"> Yetersiz/Başarısız.</w:t>
      </w:r>
    </w:p>
    <w:p w:rsidR="0053039F" w:rsidRPr="006F28AE" w:rsidRDefault="00743D81" w:rsidP="00D128E5">
      <w:pPr>
        <w:spacing w:before="120"/>
        <w:jc w:val="both"/>
      </w:pPr>
      <w:r w:rsidRPr="006F28AE">
        <w:tab/>
        <w:t>L.</w:t>
      </w:r>
      <w:r w:rsidR="0053039F" w:rsidRPr="006F28AE">
        <w:t xml:space="preserve"> </w:t>
      </w:r>
      <w:r w:rsidRPr="006F28AE">
        <w:t>“</w:t>
      </w:r>
      <w:r w:rsidR="0053039F" w:rsidRPr="006F28AE">
        <w:t>DYB</w:t>
      </w:r>
      <w:r w:rsidRPr="006F28AE">
        <w:t>”</w:t>
      </w:r>
      <w:r w:rsidR="0053039F" w:rsidRPr="006F28AE">
        <w:t xml:space="preserve">: Doktora </w:t>
      </w:r>
      <w:r w:rsidRPr="006F28AE">
        <w:t>Y</w:t>
      </w:r>
      <w:r w:rsidR="0053039F" w:rsidRPr="006F28AE">
        <w:t>eterlik Başarılı.</w:t>
      </w:r>
    </w:p>
    <w:p w:rsidR="0053039F" w:rsidRPr="006F28AE" w:rsidRDefault="00DB3899" w:rsidP="00D128E5">
      <w:pPr>
        <w:spacing w:before="120"/>
        <w:jc w:val="both"/>
      </w:pPr>
      <w:r w:rsidRPr="006F28AE">
        <w:tab/>
        <w:t>M. “</w:t>
      </w:r>
      <w:r w:rsidR="0053039F" w:rsidRPr="006F28AE">
        <w:t>DYK</w:t>
      </w:r>
      <w:r w:rsidRPr="006F28AE">
        <w:t>”</w:t>
      </w:r>
      <w:r w:rsidR="0053039F" w:rsidRPr="006F28AE">
        <w:t xml:space="preserve"> Doktora </w:t>
      </w:r>
      <w:r w:rsidRPr="006F28AE">
        <w:t>Y</w:t>
      </w:r>
      <w:r w:rsidR="0053039F" w:rsidRPr="006F28AE">
        <w:t>eterlik</w:t>
      </w:r>
      <w:r w:rsidRPr="006F28AE">
        <w:t xml:space="preserve"> Kaldı/b</w:t>
      </w:r>
      <w:r w:rsidR="0053039F" w:rsidRPr="006F28AE">
        <w:t>aşarısız.</w:t>
      </w:r>
    </w:p>
    <w:p w:rsidR="0053039F" w:rsidRPr="006F28AE" w:rsidRDefault="00DB3899" w:rsidP="00D128E5">
      <w:pPr>
        <w:spacing w:before="120"/>
        <w:jc w:val="both"/>
      </w:pPr>
      <w:r w:rsidRPr="006F28AE">
        <w:tab/>
        <w:t>N.</w:t>
      </w:r>
      <w:r w:rsidR="0053039F" w:rsidRPr="006F28AE">
        <w:t xml:space="preserve"> </w:t>
      </w:r>
      <w:r w:rsidRPr="006F28AE">
        <w:t>“</w:t>
      </w:r>
      <w:r w:rsidR="0053039F" w:rsidRPr="006F28AE">
        <w:t>TSB</w:t>
      </w:r>
      <w:r w:rsidRPr="006F28AE">
        <w:t>”</w:t>
      </w:r>
      <w:r w:rsidR="0053039F" w:rsidRPr="006F28AE">
        <w:t xml:space="preserve"> Doktora </w:t>
      </w:r>
      <w:r w:rsidRPr="006F28AE">
        <w:t>Tez Savunma</w:t>
      </w:r>
      <w:r w:rsidR="0053039F" w:rsidRPr="006F28AE">
        <w:t xml:space="preserve"> Başarılı.</w:t>
      </w:r>
    </w:p>
    <w:p w:rsidR="000D0FAB" w:rsidRPr="006F28AE" w:rsidRDefault="00DB3899" w:rsidP="00DB3899">
      <w:pPr>
        <w:spacing w:before="120"/>
        <w:ind w:firstLine="720"/>
        <w:jc w:val="both"/>
      </w:pPr>
      <w:r w:rsidRPr="006F28AE">
        <w:t>O. “</w:t>
      </w:r>
      <w:r w:rsidR="0053039F" w:rsidRPr="006F28AE">
        <w:t>TSK</w:t>
      </w:r>
      <w:r w:rsidRPr="006F28AE">
        <w:t>”</w:t>
      </w:r>
      <w:r w:rsidR="0053039F" w:rsidRPr="006F28AE">
        <w:t xml:space="preserve"> Doktora </w:t>
      </w:r>
      <w:r w:rsidRPr="006F28AE">
        <w:t>Tez Savunma Kaldı/</w:t>
      </w:r>
      <w:r w:rsidR="0053039F" w:rsidRPr="006F28AE">
        <w:t>Başarısız.</w:t>
      </w:r>
    </w:p>
    <w:p w:rsidR="0053039F" w:rsidRPr="006F28AE" w:rsidRDefault="0053039F" w:rsidP="00D128E5">
      <w:pPr>
        <w:spacing w:before="120"/>
        <w:jc w:val="both"/>
      </w:pPr>
      <w:r w:rsidRPr="006F28AE">
        <w:t>(</w:t>
      </w:r>
      <w:r w:rsidR="00DB3899" w:rsidRPr="006F28AE">
        <w:t>8</w:t>
      </w:r>
      <w:r w:rsidRPr="006F28AE">
        <w:t>)</w:t>
      </w:r>
      <w:r w:rsidR="00DB3899" w:rsidRPr="006F28AE">
        <w:rPr>
          <w:b/>
        </w:rPr>
        <w:t xml:space="preserve"> </w:t>
      </w:r>
      <w:r w:rsidRPr="006F28AE">
        <w:t>Ortalamaya katılmayan notlar ve tanımları şunlardır:</w:t>
      </w:r>
    </w:p>
    <w:p w:rsidR="0053039F" w:rsidRPr="006F28AE" w:rsidRDefault="00DB3899" w:rsidP="00D128E5">
      <w:pPr>
        <w:spacing w:before="120"/>
        <w:jc w:val="both"/>
      </w:pPr>
      <w:r w:rsidRPr="006F28AE">
        <w:tab/>
        <w:t>A. “</w:t>
      </w:r>
      <w:r w:rsidR="0053039F" w:rsidRPr="006F28AE">
        <w:t>E</w:t>
      </w:r>
      <w:r w:rsidRPr="006F28AE">
        <w:t>”</w:t>
      </w:r>
      <w:r w:rsidR="0053039F" w:rsidRPr="006F28AE">
        <w:t xml:space="preserve"> Eksik notu; yarıyıl içinde başarılı olduğu halde hastalık veya geçerli başka bir nedenle ders için gerekli şartları tamamlayamayan öğrencilere öğretim elemanı tarafından verilir. Öğrenci, herhangi bir dersten E notu aldığı takdirde, notların ilgili enstitüye teslimi tarihinden itibaren onbeş gün içinde eksikliklerini tamamlayarak bir not almak zorundadır. Aksi halde E notu kendiliğinden F notu haline gelir. Bu süre, uzayan bir hastalık veya benzeri hallerde öğrencinin başvurusu, enstitü anabilim dalı başkanlığının önerisi ve enstitü yönetim kurulu kararıyla bir sonraki kayıt döneminin başlangıcına kadar uzatılabilir.</w:t>
      </w:r>
    </w:p>
    <w:p w:rsidR="0053039F" w:rsidRPr="006F28AE" w:rsidRDefault="00DB3899" w:rsidP="00DB3899">
      <w:pPr>
        <w:spacing w:before="120"/>
        <w:ind w:firstLine="720"/>
        <w:jc w:val="both"/>
      </w:pPr>
      <w:r w:rsidRPr="006F28AE">
        <w:t>B. “</w:t>
      </w:r>
      <w:r w:rsidR="0053039F" w:rsidRPr="006F28AE">
        <w:t>YT</w:t>
      </w:r>
      <w:r w:rsidRPr="006F28AE">
        <w:t>”</w:t>
      </w:r>
      <w:r w:rsidR="0053039F" w:rsidRPr="006F28AE">
        <w:t xml:space="preserve"> Yeterli notu; kredisiz olarak alınan derslerden başarılı olma durumunda verilir. Ayrıca Üniversite dışındaki diğer üniversitelerden nakil yoluyla gelen öğrencilere evvelce almış oldukları ve denklikleri anabilim dalının önerisi ve enstitü yönetim kurulunca kabul edilen dersler için verilir.</w:t>
      </w:r>
    </w:p>
    <w:p w:rsidR="0053039F" w:rsidRPr="006F28AE" w:rsidRDefault="00DB3899" w:rsidP="00DB3899">
      <w:pPr>
        <w:spacing w:before="120"/>
        <w:ind w:firstLine="720"/>
        <w:jc w:val="both"/>
      </w:pPr>
      <w:r w:rsidRPr="006F28AE">
        <w:t>C. “</w:t>
      </w:r>
      <w:r w:rsidR="0053039F" w:rsidRPr="006F28AE">
        <w:t>YZ</w:t>
      </w:r>
      <w:r w:rsidRPr="006F28AE">
        <w:t>”</w:t>
      </w:r>
      <w:r w:rsidR="0053039F" w:rsidRPr="006F28AE">
        <w:t xml:space="preserve"> Yetersiz notu; kredisiz alınan derslerden başarısız olma durumunda verilir.</w:t>
      </w:r>
    </w:p>
    <w:p w:rsidR="0053039F" w:rsidRPr="006F28AE" w:rsidRDefault="00DB3899" w:rsidP="00DB3899">
      <w:pPr>
        <w:spacing w:before="120"/>
        <w:ind w:firstLine="720"/>
        <w:jc w:val="both"/>
      </w:pPr>
      <w:r w:rsidRPr="006F28AE">
        <w:t>Ç. “</w:t>
      </w:r>
      <w:r w:rsidR="0053039F" w:rsidRPr="006F28AE">
        <w:t>M</w:t>
      </w:r>
      <w:r w:rsidRPr="006F28AE">
        <w:t>”</w:t>
      </w:r>
      <w:r w:rsidR="0053039F" w:rsidRPr="006F28AE">
        <w:t xml:space="preserve"> Muaf notu; Üniversite dışındaki diğer üniversitelerden yatay geçiş yaparak gelen öğrencilerin daha önce almış oldukları ve denklikleri kabul edilerek ders yüküne sayılan dersler için veya ilgili enstitü anabilim dalı başkanlığı tarafından uygulanan muafiyet sınavı sonucunda muaf olunan dersler için verilir.</w:t>
      </w:r>
    </w:p>
    <w:p w:rsidR="0053039F" w:rsidRPr="006F28AE" w:rsidRDefault="00DB3899" w:rsidP="00DB3899">
      <w:pPr>
        <w:spacing w:before="120"/>
        <w:ind w:firstLine="720"/>
        <w:jc w:val="both"/>
      </w:pPr>
      <w:r w:rsidRPr="006F28AE">
        <w:t>D. “</w:t>
      </w:r>
      <w:r w:rsidR="0053039F" w:rsidRPr="006F28AE">
        <w:t>NK</w:t>
      </w:r>
      <w:r w:rsidRPr="006F28AE">
        <w:t>”</w:t>
      </w:r>
      <w:r w:rsidR="0053039F" w:rsidRPr="006F28AE">
        <w:t xml:space="preserve"> Not ortalamasına katılmayan notu; öğrencinin kayıtlı olduğu program veya programların not ortalamasına katılmamak şartıyla aldığı dersleri tanımlamak üzere verilir. Bu statüdeki dersler öğrencinin kayıtlı olduğu program veya programlarla ilgili ders saydırma işlemlerinde kullanılmaz.</w:t>
      </w:r>
    </w:p>
    <w:p w:rsidR="0053039F" w:rsidRPr="006F28AE" w:rsidRDefault="00DB3899" w:rsidP="00DB3899">
      <w:pPr>
        <w:spacing w:before="120"/>
        <w:ind w:firstLine="720"/>
        <w:jc w:val="both"/>
      </w:pPr>
      <w:r w:rsidRPr="006F28AE">
        <w:t>E. “</w:t>
      </w:r>
      <w:r w:rsidR="0053039F" w:rsidRPr="006F28AE">
        <w:t>DZ</w:t>
      </w:r>
      <w:r w:rsidRPr="006F28AE">
        <w:t>”</w:t>
      </w:r>
      <w:r w:rsidR="0053039F" w:rsidRPr="006F28AE">
        <w:t xml:space="preserve"> Devamsızlık nedeniyle başarısız notu; derse devam yükümlülüklerini yerine getirmeyen veya ders uygulamalarına ilişkin şartları yerine getirmediği için başarısız olan öğrencilere öğretim üyesi tarafından verilir. DZ notu, not ortalamaları hesabında F notu işlemi görür.</w:t>
      </w:r>
    </w:p>
    <w:p w:rsidR="0053039F" w:rsidRPr="006F28AE" w:rsidRDefault="0053039F" w:rsidP="00D128E5">
      <w:pPr>
        <w:spacing w:before="120"/>
        <w:jc w:val="both"/>
      </w:pPr>
      <w:r w:rsidRPr="006F28AE">
        <w:t>(</w:t>
      </w:r>
      <w:r w:rsidR="00DB3899" w:rsidRPr="006F28AE">
        <w:t>9</w:t>
      </w:r>
      <w:r w:rsidRPr="006F28AE">
        <w:t>) Yarıyıl sonu ders notları, ilgili enstitüye verildiği anda kesinleşir ve enstitü tarafından açıklanır.</w:t>
      </w:r>
    </w:p>
    <w:p w:rsidR="0053039F" w:rsidRPr="006F28AE" w:rsidRDefault="00DB3899" w:rsidP="00D128E5">
      <w:pPr>
        <w:spacing w:before="120"/>
        <w:jc w:val="both"/>
      </w:pPr>
      <w:r w:rsidRPr="006F28AE">
        <w:t>(10</w:t>
      </w:r>
      <w:r w:rsidR="0053039F" w:rsidRPr="006F28AE">
        <w:t>) Bir dersten başarılı sayılabilmek için başarı notunun; bilimsel hazırlık programlarında en az CC, yüksek lisans programlarında en az CB, doktora ve sanatta yeterlik programlarında en az BB olması gerekir.</w:t>
      </w:r>
    </w:p>
    <w:p w:rsidR="0053039F" w:rsidRPr="006F28AE" w:rsidRDefault="0053039F" w:rsidP="00D128E5">
      <w:pPr>
        <w:spacing w:before="120"/>
        <w:jc w:val="both"/>
      </w:pPr>
      <w:r w:rsidRPr="006F28AE">
        <w:t>(</w:t>
      </w:r>
      <w:r w:rsidR="00DB3899" w:rsidRPr="006F28AE">
        <w:t>11</w:t>
      </w:r>
      <w:r w:rsidRPr="006F28AE">
        <w:t>) Ağırlıklı genel not ortalaması (AGNO), her dersten alınan başarı notunun sayısal değerinin o dersin kredisi ile çarpımından elde edilen değerlerin toplamının bu derslerin kredilerinin toplamına bölünmesi ile bulunan değerdir. Sonuç, virgülden sonra iki haneye, üçüncü hane yuvarlatılarak belirtilir. Öğrencinin öğrenimine devam etmesinde, ders başarı notu yanında AGNO notu da kullanılır. AGNO, öğrencinin lisansüstü programına kabul edilmesinden itibaren, en az ders yükünü tamamlamak amacıyla almış olduğu derslerin tümü dikkate alınarak hesaplanır. AGNO hesabında, tekrar edilen derslerden son alınan not geçerlidir. Bütün notlar öğrencinin not çizelgesine geçirilir.</w:t>
      </w:r>
    </w:p>
    <w:p w:rsidR="0053039F" w:rsidRPr="006F28AE" w:rsidRDefault="00DB3899" w:rsidP="00D128E5">
      <w:pPr>
        <w:spacing w:before="120"/>
        <w:jc w:val="both"/>
      </w:pPr>
      <w:r w:rsidRPr="006F28AE">
        <w:t>(12</w:t>
      </w:r>
      <w:r w:rsidR="0053039F" w:rsidRPr="006F28AE">
        <w:t>) Bir öğrencinin derslerini başarı ile tamamlamış sayılabilmesi için AGNO’nun; bilimsel hazırlık programlarında en az CC, yüksek lisans programlarında en az CB, doktora ve sanatta yeterlik programlarında en az BB olması gerekir. AGNO’su bu değerlerin altında olan öğrenciler, öğrenim süresi içinde olmak şartıyla, başarı notları bu değerlerin altında kalan derslerden yeteri kadarını tekrarlar veya yeni ders alabilirler.</w:t>
      </w:r>
    </w:p>
    <w:p w:rsidR="00DB3899" w:rsidRPr="006F28AE" w:rsidRDefault="00DB3899" w:rsidP="00DB3899">
      <w:pPr>
        <w:spacing w:before="120"/>
        <w:jc w:val="both"/>
      </w:pPr>
      <w:r w:rsidRPr="006F28AE">
        <w:t>(</w:t>
      </w:r>
      <w:r w:rsidR="00000EAD" w:rsidRPr="006F28AE">
        <w:t>13</w:t>
      </w:r>
      <w:r w:rsidRPr="006F28AE">
        <w:t>) Herhangi bir yükseköğretim programına devam ederken program değiştiren öğrencinin GNO’su; önceki programında aldığı ve intibakı yapılan derslerin harf notları ile devam etmekte olduğu programda aldığı derslerin harf notları dikkate alınarak hesaplanır.</w:t>
      </w:r>
    </w:p>
    <w:p w:rsidR="00DB3899" w:rsidRPr="006F28AE" w:rsidRDefault="00DB3899" w:rsidP="00DB3899">
      <w:pPr>
        <w:spacing w:before="120"/>
        <w:jc w:val="both"/>
      </w:pPr>
      <w:r w:rsidRPr="006F28AE">
        <w:t>(</w:t>
      </w:r>
      <w:r w:rsidR="00000EAD" w:rsidRPr="006F28AE">
        <w:t>14</w:t>
      </w:r>
      <w:r w:rsidRPr="006F28AE">
        <w:t>) Zorunlu derslerden harf notu CD, DC, DD, FF, YZ veya DZ olan öğrenci, bu dersleri tekrar almak zorundadır. Seçmeli bir dersten CD, DC, DD, FF, YZ veya DZ harf notlarından birini alan öğrenci, bu dersi tekrarlar veya danışmanının onayıyla bu ders yerine başka bir seçmeli ders alabilir.</w:t>
      </w:r>
    </w:p>
    <w:p w:rsidR="00DB3899" w:rsidRPr="006F28AE" w:rsidRDefault="00DB3899" w:rsidP="00DB3899">
      <w:pPr>
        <w:spacing w:before="120"/>
        <w:jc w:val="both"/>
      </w:pPr>
      <w:r w:rsidRPr="006F28AE">
        <w:t>(</w:t>
      </w:r>
      <w:r w:rsidR="00000EAD" w:rsidRPr="006F28AE">
        <w:t>15</w:t>
      </w:r>
      <w:r w:rsidRPr="006F28AE">
        <w:t>) GNO hesaplanırken başarısızlıktan dolayı tekrar edilen veya başarılı olunup GNO’yu yükseltmek amacıyla tekrar alınan zorunlu bir dersin en son kredisi ve harf notu; seçmeli bir dersin tekrarı veya o dersin yerine başka bir dersin alınması durumunda ise en son alınan dersin kredisi ve harf notu esas alınır.</w:t>
      </w:r>
    </w:p>
    <w:p w:rsidR="00DB3899" w:rsidRPr="006F28AE" w:rsidRDefault="00DB3899" w:rsidP="00DB3899">
      <w:pPr>
        <w:spacing w:before="120"/>
        <w:jc w:val="both"/>
      </w:pPr>
      <w:r w:rsidRPr="006F28AE">
        <w:t>(</w:t>
      </w:r>
      <w:r w:rsidR="00000EAD" w:rsidRPr="006F28AE">
        <w:t>16</w:t>
      </w:r>
      <w:r w:rsidRPr="006F28AE">
        <w:t>) Öğrencinin başarılı sayılabilmesi için her dönemin sonunda GNO’sunun yüksek lisans programları için en az 2,50; doktora/sanatta yeterlik programları için ise en az 3,00 olması gerekir. Yaz okulundan ders alınması durumunda GNO, derslerin yaz okulunda oluşan harf notları da dikkate alınarak hesaplanır.</w:t>
      </w:r>
    </w:p>
    <w:p w:rsidR="00000EAD" w:rsidRPr="006F28AE" w:rsidRDefault="00000EAD" w:rsidP="00000EAD">
      <w:pPr>
        <w:spacing w:before="120"/>
        <w:jc w:val="both"/>
      </w:pPr>
      <w:r w:rsidRPr="006F28AE">
        <w:t>(17) Öğrenci; danışmanının onayını almak koşuluyla ilgili dönemin ekle/sil haftası içinde ders değiştirebilir, ders bırakabilir veya yeni derse/derslere kaydolabilir.</w:t>
      </w:r>
    </w:p>
    <w:p w:rsidR="00000EAD" w:rsidRPr="006F28AE" w:rsidRDefault="00000EAD" w:rsidP="00000EAD">
      <w:pPr>
        <w:spacing w:before="120"/>
        <w:jc w:val="both"/>
      </w:pPr>
      <w:r w:rsidRPr="006F28AE">
        <w:rPr>
          <w:b/>
        </w:rPr>
        <w:t>Madde 23 - Sınavlara İtiraz</w:t>
      </w:r>
    </w:p>
    <w:p w:rsidR="00000EAD" w:rsidRPr="006F28AE" w:rsidRDefault="00000EAD" w:rsidP="00000EAD">
      <w:pPr>
        <w:spacing w:before="120"/>
        <w:jc w:val="both"/>
      </w:pPr>
      <w:r w:rsidRPr="006F28AE">
        <w:t xml:space="preserve"> (1) Sınavlara itiraz; sadece maddi hata nedeniyle, sınav sonuçlarının Üniversitenin İnternet sayfasından ilanını izleyen beş işgünü içinde ilgili enstitü müdürlüğüne bir dilekçeyle yapılır. İtirazlar, ilgili enstitü yönetim kurulu tarafından yapılan incelemeden sonra karara bağlanır.</w:t>
      </w:r>
    </w:p>
    <w:p w:rsidR="0053039F" w:rsidRPr="006F28AE" w:rsidRDefault="00316327" w:rsidP="00D128E5">
      <w:pPr>
        <w:spacing w:before="120"/>
        <w:jc w:val="both"/>
        <w:rPr>
          <w:b/>
        </w:rPr>
      </w:pPr>
      <w:r w:rsidRPr="006F28AE">
        <w:rPr>
          <w:b/>
        </w:rPr>
        <w:t>M</w:t>
      </w:r>
      <w:r w:rsidR="00DB3899" w:rsidRPr="006F28AE">
        <w:rPr>
          <w:b/>
        </w:rPr>
        <w:t>adde 2</w:t>
      </w:r>
      <w:r w:rsidR="00000EAD" w:rsidRPr="006F28AE">
        <w:rPr>
          <w:b/>
        </w:rPr>
        <w:t>4</w:t>
      </w:r>
      <w:r w:rsidRPr="006F28AE">
        <w:rPr>
          <w:b/>
        </w:rPr>
        <w:t xml:space="preserve"> </w:t>
      </w:r>
      <w:r w:rsidR="00DB3899" w:rsidRPr="006F28AE">
        <w:rPr>
          <w:b/>
        </w:rPr>
        <w:t xml:space="preserve">- </w:t>
      </w:r>
      <w:r w:rsidR="000D0FAB" w:rsidRPr="006F28AE">
        <w:rPr>
          <w:b/>
        </w:rPr>
        <w:t xml:space="preserve">Mezuniyet </w:t>
      </w:r>
      <w:r w:rsidR="00DB3899" w:rsidRPr="006F28AE">
        <w:rPr>
          <w:b/>
        </w:rPr>
        <w:t>Koşulları, Tarihi ve Geçici Mezuniyet Belgesi</w:t>
      </w:r>
    </w:p>
    <w:p w:rsidR="0053039F" w:rsidRPr="006F28AE" w:rsidRDefault="000D0FAB" w:rsidP="00D128E5">
      <w:pPr>
        <w:spacing w:before="120"/>
        <w:jc w:val="both"/>
      </w:pPr>
      <w:r w:rsidRPr="006F28AE">
        <w:t>(1)</w:t>
      </w:r>
      <w:r w:rsidR="00DB3899" w:rsidRPr="006F28AE">
        <w:t xml:space="preserve"> </w:t>
      </w:r>
      <w:r w:rsidR="0053039F" w:rsidRPr="006F28AE">
        <w:t xml:space="preserve">Lisansüstü programlardan mezun olunabilmesi için bu Yönetmeliğin ilgili hükümlerinde yer alan başarı koşullarının sağlanması gerekir. </w:t>
      </w:r>
    </w:p>
    <w:p w:rsidR="0053039F" w:rsidRPr="006F28AE" w:rsidRDefault="000D0FAB" w:rsidP="00D128E5">
      <w:pPr>
        <w:spacing w:before="120"/>
        <w:jc w:val="both"/>
      </w:pPr>
      <w:r w:rsidRPr="006F28AE">
        <w:t>(2)</w:t>
      </w:r>
      <w:r w:rsidR="00DB3899" w:rsidRPr="006F28AE">
        <w:t xml:space="preserve"> </w:t>
      </w:r>
      <w:r w:rsidR="0053039F" w:rsidRPr="006F28AE">
        <w:t xml:space="preserve">Lisansüstü programlarda mezuniyet tarihi; </w:t>
      </w:r>
    </w:p>
    <w:p w:rsidR="0053039F" w:rsidRPr="006F28AE" w:rsidRDefault="000D0FAB" w:rsidP="00D128E5">
      <w:pPr>
        <w:spacing w:before="120"/>
        <w:jc w:val="both"/>
      </w:pPr>
      <w:r w:rsidRPr="006F28AE">
        <w:t xml:space="preserve">      </w:t>
      </w:r>
      <w:r w:rsidR="00DB3899" w:rsidRPr="006F28AE">
        <w:t xml:space="preserve">A. </w:t>
      </w:r>
      <w:r w:rsidR="0053039F" w:rsidRPr="006F28AE">
        <w:t xml:space="preserve">Tezli yüksek lisans programlarında, mezuniyet tarihi tezin sınav jüri komisyonu tarafından imzalı nüshasının ilgili enstitüye teslim edildiği, </w:t>
      </w:r>
    </w:p>
    <w:p w:rsidR="0053039F" w:rsidRPr="006F28AE" w:rsidRDefault="000D0FAB" w:rsidP="00D128E5">
      <w:pPr>
        <w:spacing w:before="120"/>
        <w:jc w:val="both"/>
      </w:pPr>
      <w:r w:rsidRPr="006F28AE">
        <w:t xml:space="preserve">     </w:t>
      </w:r>
      <w:r w:rsidR="00DB3899" w:rsidRPr="006F28AE">
        <w:t xml:space="preserve">B. </w:t>
      </w:r>
      <w:r w:rsidR="0053039F" w:rsidRPr="006F28AE">
        <w:t xml:space="preserve">Tezsiz yüksek lisans programlarında, akademik takvimde ilgili yarıyıl veya yaz okulu için belirtilen harf notlarının ilan tarihidir. Harf notları ilan edildikten, maddi hata düzeltmesi yapıldıktan ve/veya I notu tamamlandıktan sonra mezun olanlar için mezuniyet tarihi son harf notunun kesinleştiği, </w:t>
      </w:r>
    </w:p>
    <w:p w:rsidR="0053039F" w:rsidRPr="006F28AE" w:rsidRDefault="000D0FAB" w:rsidP="00D128E5">
      <w:pPr>
        <w:spacing w:before="120"/>
        <w:jc w:val="both"/>
      </w:pPr>
      <w:r w:rsidRPr="006F28AE">
        <w:t xml:space="preserve">     </w:t>
      </w:r>
      <w:r w:rsidR="00DB3899" w:rsidRPr="006F28AE">
        <w:t xml:space="preserve">C. </w:t>
      </w:r>
      <w:r w:rsidR="0053039F" w:rsidRPr="006F28AE">
        <w:t xml:space="preserve">Doktora programlarında, mezuniyet tarihi tezin sınav jüri komisyonu tarafından imzalı nüshasının ilgili enstitüye teslim edildiği tarihtir. </w:t>
      </w:r>
    </w:p>
    <w:p w:rsidR="0053039F" w:rsidRPr="006F28AE" w:rsidRDefault="000D0FAB" w:rsidP="00D128E5">
      <w:pPr>
        <w:spacing w:before="120"/>
        <w:jc w:val="both"/>
      </w:pPr>
      <w:r w:rsidRPr="006F28AE">
        <w:t>(3)</w:t>
      </w:r>
      <w:r w:rsidR="0053039F" w:rsidRPr="006F28AE">
        <w:t xml:space="preserve">Talep etmesi durumunda mezuniyet diploması verilene kadar mezun öğrenciye geçici mezuniyet belgesi verilir. Bu belgenin son geçerlilik tarihi mezuniyet diplomasının verileceği tarihle aynıdır.  </w:t>
      </w:r>
    </w:p>
    <w:p w:rsidR="0053039F" w:rsidRPr="006F28AE" w:rsidRDefault="0053039F" w:rsidP="00D128E5">
      <w:pPr>
        <w:spacing w:before="120"/>
        <w:jc w:val="both"/>
      </w:pPr>
    </w:p>
    <w:p w:rsidR="0053039F" w:rsidRPr="006F28AE" w:rsidRDefault="0053039F" w:rsidP="00000EAD">
      <w:pPr>
        <w:spacing w:before="120"/>
        <w:jc w:val="center"/>
        <w:rPr>
          <w:b/>
        </w:rPr>
      </w:pPr>
      <w:r w:rsidRPr="006F28AE">
        <w:rPr>
          <w:b/>
        </w:rPr>
        <w:t>ÜÇÜNCÜ BÖLÜM</w:t>
      </w:r>
    </w:p>
    <w:p w:rsidR="0053039F" w:rsidRPr="006F28AE" w:rsidRDefault="00000EAD" w:rsidP="00000EAD">
      <w:pPr>
        <w:spacing w:before="120"/>
        <w:jc w:val="center"/>
        <w:rPr>
          <w:b/>
        </w:rPr>
      </w:pPr>
      <w:r w:rsidRPr="006F28AE">
        <w:rPr>
          <w:b/>
        </w:rPr>
        <w:t xml:space="preserve">Yüksek Lisans </w:t>
      </w:r>
      <w:r w:rsidR="002C4810" w:rsidRPr="006F28AE">
        <w:rPr>
          <w:b/>
        </w:rPr>
        <w:t>Programıyla</w:t>
      </w:r>
      <w:r w:rsidR="003F0A89" w:rsidRPr="006F28AE">
        <w:rPr>
          <w:b/>
        </w:rPr>
        <w:t xml:space="preserve"> İlgili Esaslar</w:t>
      </w:r>
    </w:p>
    <w:p w:rsidR="0053039F" w:rsidRPr="006F28AE" w:rsidRDefault="00000EAD" w:rsidP="00D128E5">
      <w:pPr>
        <w:spacing w:before="120"/>
        <w:jc w:val="both"/>
        <w:rPr>
          <w:b/>
        </w:rPr>
      </w:pPr>
      <w:r w:rsidRPr="006F28AE">
        <w:rPr>
          <w:b/>
        </w:rPr>
        <w:t>Madde 2</w:t>
      </w:r>
      <w:r w:rsidR="000B4A1E" w:rsidRPr="006F28AE">
        <w:rPr>
          <w:b/>
        </w:rPr>
        <w:t>5</w:t>
      </w:r>
      <w:r w:rsidRPr="006F28AE">
        <w:rPr>
          <w:b/>
        </w:rPr>
        <w:t xml:space="preserve"> </w:t>
      </w:r>
      <w:r w:rsidR="002C4810" w:rsidRPr="006F28AE">
        <w:rPr>
          <w:b/>
        </w:rPr>
        <w:t>-</w:t>
      </w:r>
      <w:r w:rsidRPr="006F28AE">
        <w:rPr>
          <w:b/>
        </w:rPr>
        <w:t xml:space="preserve"> Yüksek Lisans Programları</w:t>
      </w:r>
    </w:p>
    <w:p w:rsidR="0053039F" w:rsidRPr="006F28AE" w:rsidRDefault="00000EAD" w:rsidP="00D128E5">
      <w:pPr>
        <w:spacing w:before="120"/>
        <w:jc w:val="both"/>
      </w:pPr>
      <w:r w:rsidRPr="006F28AE">
        <w:t>(1</w:t>
      </w:r>
      <w:r w:rsidR="000D0FAB" w:rsidRPr="006F28AE">
        <w:t>)</w:t>
      </w:r>
      <w:r w:rsidRPr="006F28AE">
        <w:t xml:space="preserve"> </w:t>
      </w:r>
      <w:r w:rsidR="0053039F" w:rsidRPr="006F28AE">
        <w:t xml:space="preserve">Yüksek Lisans programı, tezli veya tezsiz olmak üzere iki şekilde yürütülebilir. Bu programların hangi Enstitü Anabilim dallarında açılacağı, Anabilim Dalının teklifi, Enstitü Kurulunun Kararı ve Senatonun onayı ile belirlenir. </w:t>
      </w:r>
    </w:p>
    <w:p w:rsidR="0053039F" w:rsidRPr="006F28AE" w:rsidRDefault="00000EAD" w:rsidP="00D128E5">
      <w:pPr>
        <w:spacing w:before="120"/>
        <w:jc w:val="both"/>
      </w:pPr>
      <w:r w:rsidRPr="006F28AE">
        <w:t>(2</w:t>
      </w:r>
      <w:r w:rsidR="000D0FAB" w:rsidRPr="006F28AE">
        <w:t>)</w:t>
      </w:r>
      <w:r w:rsidRPr="006F28AE">
        <w:t xml:space="preserve"> </w:t>
      </w:r>
      <w:r w:rsidR="0053039F" w:rsidRPr="006F28AE">
        <w:t xml:space="preserve">Tezli ve tezsiz yüksek lisans programları arasında geçiş izni Anabilim Dallarının önerisi üzerine Enstitü Kurullarınca verilir. Tezli yüksek lisans programından tezsize geçmek için ek kredilerin tamamlanması, tezsiz yüksek lisans programından tezliye geçmek için yabancı dil koşulunun yerine getirilmesi gerekir. Her iki halde de öğrenciye geçiş yaptığı programların işlemlerini tamamlaması ve öngörülen diğer koşulları yerine getirmesi için maksimum süreyi aşmamak üzere 2 (iki) yarıyıl ek süre tanınır. Bu programlardan birinden diğerine geçebilmek için, Anabilim Dalının önerisi ve Enstitü Yönetim Kurulunun onayı ile not ortalaması barajı da konulabilir. Geçiş için başvuruların dördüncü yarıyılın sonuna kadar yapılması gerekir. Tezli ve tezsiz yüksek lisans programlarında geçiş bir kez yapılır. </w:t>
      </w:r>
    </w:p>
    <w:p w:rsidR="00000EAD" w:rsidRPr="006F28AE" w:rsidRDefault="00000EAD" w:rsidP="00000EAD">
      <w:pPr>
        <w:spacing w:before="120"/>
        <w:jc w:val="both"/>
        <w:rPr>
          <w:b/>
        </w:rPr>
      </w:pPr>
      <w:r w:rsidRPr="006F28AE">
        <w:rPr>
          <w:b/>
        </w:rPr>
        <w:t>Madde 2</w:t>
      </w:r>
      <w:r w:rsidR="000B4A1E" w:rsidRPr="006F28AE">
        <w:rPr>
          <w:b/>
        </w:rPr>
        <w:t>6</w:t>
      </w:r>
      <w:r w:rsidRPr="006F28AE">
        <w:rPr>
          <w:b/>
        </w:rPr>
        <w:t xml:space="preserve"> </w:t>
      </w:r>
      <w:r w:rsidR="002C4810" w:rsidRPr="006F28AE">
        <w:rPr>
          <w:b/>
        </w:rPr>
        <w:t xml:space="preserve">- </w:t>
      </w:r>
      <w:r w:rsidRPr="006F28AE">
        <w:rPr>
          <w:b/>
        </w:rPr>
        <w:t xml:space="preserve">Tezli Yüksek Lisans </w:t>
      </w:r>
      <w:r w:rsidR="003F0A89" w:rsidRPr="006F28AE">
        <w:rPr>
          <w:b/>
        </w:rPr>
        <w:t>Programı</w:t>
      </w:r>
    </w:p>
    <w:p w:rsidR="00000EAD" w:rsidRPr="006F28AE" w:rsidRDefault="00000EAD" w:rsidP="00D128E5">
      <w:pPr>
        <w:spacing w:before="120"/>
        <w:jc w:val="both"/>
      </w:pPr>
      <w:r w:rsidRPr="006F28AE">
        <w:t xml:space="preserve">(1) </w:t>
      </w:r>
      <w:r w:rsidR="0053039F" w:rsidRPr="006F28AE">
        <w:t xml:space="preserve">Tezli yüksek lisans öğretiminin amacı, öğrencinin bilimsel araştırma yaparak bilgilere erişme, bilgiyi değerlendirme ve yorumlama yeteneğini kazanmasını sağlamaktır. </w:t>
      </w:r>
    </w:p>
    <w:p w:rsidR="000B4A1E" w:rsidRPr="006F28AE" w:rsidRDefault="00000EAD" w:rsidP="00D128E5">
      <w:pPr>
        <w:spacing w:before="120"/>
        <w:jc w:val="both"/>
      </w:pPr>
      <w:r w:rsidRPr="006F28AE">
        <w:t xml:space="preserve">(2) </w:t>
      </w:r>
      <w:r w:rsidR="0053039F" w:rsidRPr="006F28AE">
        <w:t xml:space="preserve">Tezli yüksek lisans programı toplam yirmi bir </w:t>
      </w:r>
      <w:r w:rsidRPr="006F28AE">
        <w:t xml:space="preserve">(21) </w:t>
      </w:r>
      <w:r w:rsidR="0053039F" w:rsidRPr="006F28AE">
        <w:t xml:space="preserve">krediden az olmamak koşuluyla en az yedi ders, bir seminer dersi ve tez çalışmasından oluşur. Seminer dersi ve tez çalışması kredisiz olup başarılı veya başarısız olarak değerlendirilir. </w:t>
      </w:r>
    </w:p>
    <w:p w:rsidR="000B4A1E" w:rsidRPr="006F28AE" w:rsidRDefault="000B4A1E" w:rsidP="00D128E5">
      <w:pPr>
        <w:spacing w:before="120"/>
        <w:jc w:val="both"/>
      </w:pPr>
      <w:r w:rsidRPr="006F28AE">
        <w:t xml:space="preserve">(3) </w:t>
      </w:r>
      <w:r w:rsidR="0053039F" w:rsidRPr="006F28AE">
        <w:t xml:space="preserve">Tezli yüksek lisans programı bir eğitim-öğretim dönemi 60 AKTS kredisinden az olmamak koşuluyla seminer dersi dâhil en az sekiz ders ve tez çalışması olmak üzere toplam en az 120 AKTS kredisinden oluşur. </w:t>
      </w:r>
    </w:p>
    <w:p w:rsidR="0053039F" w:rsidRPr="006F28AE" w:rsidRDefault="000B4A1E" w:rsidP="00D128E5">
      <w:pPr>
        <w:spacing w:before="120"/>
        <w:jc w:val="both"/>
      </w:pPr>
      <w:r w:rsidRPr="006F28AE">
        <w:t xml:space="preserve">(4) </w:t>
      </w:r>
      <w:r w:rsidR="0053039F" w:rsidRPr="006F28AE">
        <w:t xml:space="preserve">Öğrencinin alacağı derslerin en çok ikisi, lisans öğrenimi sırasında alınmamış olması koşuluyla, lisans derslerinden seçilebilir. Ayrıca dersler, ilgili Enstitü Anabilim Dalı Başkanlığının önerisi ve Enstitü Yönetim Kurulu onayı ile diğer yükseköğretim kurumlarında verilmekte olan derslerden de seçilebilir. Enstitü Kurulu disiplinlerarası nitelikte zorunlu veya seçmeli dersler açılmasına karar verebilir. </w:t>
      </w:r>
    </w:p>
    <w:p w:rsidR="000B4A1E" w:rsidRPr="006F28AE" w:rsidRDefault="000B4A1E" w:rsidP="00D128E5">
      <w:pPr>
        <w:spacing w:before="120"/>
        <w:jc w:val="both"/>
      </w:pPr>
      <w:r w:rsidRPr="006F28AE">
        <w:t>(5) Öğrenci seminer dersini, tez danışmanından yalnızca bir defa ikinci yarıyılda alır. Tez danışmanının tüm öğrencileri, aynı seminer dersine kayıt yaptırır. Seminer dersinin konusu tez danışmanı tarafından belirlenir, anabilim/anasanat dalı başkanlığı aracılığıyla ilgili enstitüye bildirilir ve enstitü tarafından ilan edilir. Seminer konusu enstitü tarafından ilan edildikten sonra değiştirilemez. Seminer dersinde başarısız olan öğrenci, bir sonraki yarıyılda seminer dersini tekrar eder. Tekrar durumunda, tez danışmanının uygun görmesi ve enstitü müdürlüğünün onayıyla seminer konusu değiştirilebilir.</w:t>
      </w:r>
    </w:p>
    <w:p w:rsidR="000B4A1E" w:rsidRPr="006F28AE" w:rsidRDefault="000B4A1E" w:rsidP="000B4A1E"/>
    <w:p w:rsidR="000B4A1E" w:rsidRPr="006F28AE" w:rsidRDefault="000B4A1E" w:rsidP="000B4A1E">
      <w:pPr>
        <w:rPr>
          <w:b/>
        </w:rPr>
      </w:pPr>
      <w:r w:rsidRPr="006F28AE">
        <w:rPr>
          <w:b/>
        </w:rPr>
        <w:t xml:space="preserve">Madde </w:t>
      </w:r>
      <w:r w:rsidR="005E5C1E" w:rsidRPr="006F28AE">
        <w:rPr>
          <w:b/>
        </w:rPr>
        <w:t>27</w:t>
      </w:r>
      <w:r w:rsidRPr="006F28AE">
        <w:rPr>
          <w:b/>
        </w:rPr>
        <w:t xml:space="preserve"> - Öğrenim Süresi</w:t>
      </w:r>
    </w:p>
    <w:p w:rsidR="000B4A1E" w:rsidRPr="006F28AE" w:rsidRDefault="000B4A1E" w:rsidP="000B4A1E">
      <w:pPr>
        <w:spacing w:before="120"/>
        <w:jc w:val="both"/>
      </w:pPr>
      <w:r w:rsidRPr="006F28AE">
        <w:t>(1) Tezli yüksek lisans programının süresi bilimsel hazırlıkta geçen süre hariç kayıtlı olduğu programa ilişkin derslerin verildiği dönemden başlamak üzere, her dönem için kayıt yaptırıp yaptırmadığına bakılmaksızın dört yarıyıl olup program en çok altı yarıyılda tamamlanır.</w:t>
      </w:r>
    </w:p>
    <w:p w:rsidR="000B4A1E" w:rsidRPr="006F28AE" w:rsidRDefault="000B4A1E" w:rsidP="000B4A1E">
      <w:pPr>
        <w:spacing w:before="120"/>
        <w:jc w:val="both"/>
      </w:pPr>
    </w:p>
    <w:p w:rsidR="000B4A1E" w:rsidRPr="006F28AE" w:rsidRDefault="000B4A1E" w:rsidP="000B4A1E">
      <w:pPr>
        <w:spacing w:before="120"/>
        <w:jc w:val="both"/>
      </w:pPr>
      <w:r w:rsidRPr="006F28AE">
        <w:t>(2) Dört yarıyıl sonunda öğretim planında yer alan kredili derslerini ve seminer dersini başarıyla tamamlayamayan veya CD, DC, DD, FF, YZ veya DZ harf notu aldığı ders/dersler bulunan veya 2,50 GNO’yu sağlayamayan öğrencinin programdan ilişiği kesilir.</w:t>
      </w:r>
    </w:p>
    <w:p w:rsidR="000B4A1E" w:rsidRPr="006F28AE" w:rsidRDefault="000B4A1E" w:rsidP="000B4A1E">
      <w:pPr>
        <w:spacing w:before="120"/>
        <w:jc w:val="both"/>
      </w:pPr>
      <w:r w:rsidRPr="006F28AE">
        <w:t>(3) Tezli yüksek lisans programının azami süresi altı yarıyıldır. Azami süre içinde tez çalışmasında başarısız olan veya tez savunmasına girmeyen öğrencinin programdan ilişiği kesilir.</w:t>
      </w:r>
    </w:p>
    <w:p w:rsidR="000B4A1E" w:rsidRPr="006F28AE" w:rsidRDefault="000B4A1E" w:rsidP="000B4A1E">
      <w:pPr>
        <w:spacing w:before="120"/>
        <w:jc w:val="both"/>
      </w:pPr>
      <w:r w:rsidRPr="006F28AE">
        <w:t>(4) Öğrenci, tezli yüksek lisans programının mezuniyet koşullarını yerine getirdiği takdirde bu süreden önce de mezun olabilir.</w:t>
      </w:r>
    </w:p>
    <w:p w:rsidR="000B4A1E" w:rsidRPr="006F28AE" w:rsidRDefault="000B4A1E" w:rsidP="000B4A1E">
      <w:pPr>
        <w:spacing w:before="120"/>
        <w:jc w:val="both"/>
      </w:pPr>
      <w:r w:rsidRPr="006F28AE">
        <w:t xml:space="preserve">(5) Tezli yüksek lisans öğrencisinin başarılı sayılabilmesi için aldığı tüm derslerden YT, CC veya bunun üzerinde bir harf notu alması ve en az 2,50 GNO’yu sağlaması gerekir. </w:t>
      </w:r>
    </w:p>
    <w:p w:rsidR="0053039F" w:rsidRPr="006F28AE" w:rsidRDefault="000B4A1E" w:rsidP="000B4A1E">
      <w:pPr>
        <w:spacing w:before="120"/>
        <w:jc w:val="both"/>
      </w:pPr>
      <w:r w:rsidRPr="006F28AE">
        <w:t xml:space="preserve">(6) </w:t>
      </w:r>
      <w:r w:rsidR="0053039F" w:rsidRPr="006F28AE">
        <w:t xml:space="preserve">Kredili derslerini ve seminerini ilk 3 yarıyıl içinde başarı ile bitiren, ancak tez çalışmasını altı yarıyıl sonuna kadar tamamlayamadığı için tez sınavına giremeyen öğrenciye, ilgili Enstitü Anabilim Dalı Başkanlığının önerisi ve Enstitü Yönetim Kurulu onayı ile tezini jüri önünde savunması için en fazla iki yarıyıl ek süre verilebilir. </w:t>
      </w:r>
    </w:p>
    <w:p w:rsidR="00D11820" w:rsidRPr="006F28AE" w:rsidRDefault="00316327" w:rsidP="00D128E5">
      <w:pPr>
        <w:spacing w:before="120"/>
        <w:jc w:val="both"/>
        <w:rPr>
          <w:b/>
        </w:rPr>
      </w:pPr>
      <w:r w:rsidRPr="006F28AE">
        <w:rPr>
          <w:b/>
        </w:rPr>
        <w:t>M</w:t>
      </w:r>
      <w:r w:rsidR="00722132" w:rsidRPr="006F28AE">
        <w:rPr>
          <w:b/>
        </w:rPr>
        <w:t>adde</w:t>
      </w:r>
      <w:r w:rsidRPr="006F28AE">
        <w:rPr>
          <w:b/>
        </w:rPr>
        <w:t xml:space="preserve"> 2</w:t>
      </w:r>
      <w:r w:rsidR="005E5C1E" w:rsidRPr="006F28AE">
        <w:rPr>
          <w:b/>
        </w:rPr>
        <w:t>8</w:t>
      </w:r>
      <w:r w:rsidR="00722132" w:rsidRPr="006F28AE">
        <w:rPr>
          <w:b/>
        </w:rPr>
        <w:t xml:space="preserve"> - </w:t>
      </w:r>
      <w:r w:rsidR="00D11820" w:rsidRPr="006F28AE">
        <w:rPr>
          <w:b/>
        </w:rPr>
        <w:t>Tez Danışmanı Atanması ve Değiştirilmesi</w:t>
      </w:r>
    </w:p>
    <w:p w:rsidR="00722132" w:rsidRPr="006F28AE" w:rsidRDefault="00722132" w:rsidP="00722132">
      <w:pPr>
        <w:spacing w:before="120"/>
        <w:jc w:val="both"/>
      </w:pPr>
      <w:r w:rsidRPr="006F28AE">
        <w:t>(1) Tezli yüksek lisans programında; enstitü anabilim/anasanat dalı başkanlığı, her öğrenci için öğrencinin yazılı görüşünü alarak Üniversite kadrosunda bulunan öğretim üyeleri arasından bir tez danışmanını en geç birinci yarıyılın sonuna kadar; öğrencinin danışmanıyla birlikte belirlediği tez konusunu ve başlığını da ikinci yarıyılın sonuna kadar ilgili enstitüye önerir. Tez danışmanı ve tez konusu önerisi, ilgili enstitü yönetim kurulu onayıyla kesinleşir.</w:t>
      </w:r>
    </w:p>
    <w:p w:rsidR="00722132" w:rsidRPr="006F28AE" w:rsidRDefault="00722132" w:rsidP="00722132">
      <w:pPr>
        <w:spacing w:before="120"/>
        <w:jc w:val="both"/>
      </w:pPr>
      <w:r w:rsidRPr="006F28AE">
        <w:t>(2) Tez çalışmasının niteliğinin birden fazla danışmanı gerektirdiği durumlarda danışmanın önerisiyle ilgili enstitü yönetim kurulu tarafından ikinci danışman (eş danışman) Üniversite içinden veya Üniversite dışından atanabilir. İkinci tez danışmanının, en az doktora/sanatta yeterlik derecesine sahip olması gerekir.</w:t>
      </w:r>
    </w:p>
    <w:p w:rsidR="00722132" w:rsidRPr="006F28AE" w:rsidRDefault="00722132" w:rsidP="00722132">
      <w:pPr>
        <w:spacing w:before="120"/>
        <w:jc w:val="both"/>
      </w:pPr>
      <w:r w:rsidRPr="006F28AE">
        <w:t>(</w:t>
      </w:r>
      <w:r w:rsidR="004E3206" w:rsidRPr="006F28AE">
        <w:t>3</w:t>
      </w:r>
      <w:r w:rsidRPr="006F28AE">
        <w:t>) Öğrenci; tez ve uzmanlık alan dersine üçüncü yarıyıldan itibaren kayıt yaptırmak zorundadır.</w:t>
      </w:r>
    </w:p>
    <w:p w:rsidR="00722132" w:rsidRPr="006F28AE" w:rsidRDefault="00722132" w:rsidP="00722132">
      <w:pPr>
        <w:spacing w:before="120"/>
        <w:jc w:val="both"/>
      </w:pPr>
      <w:r w:rsidRPr="006F28AE">
        <w:t>(</w:t>
      </w:r>
      <w:r w:rsidR="004E3206" w:rsidRPr="006F28AE">
        <w:t>4</w:t>
      </w:r>
      <w:r w:rsidRPr="006F28AE">
        <w:t xml:space="preserve">) Üniversite kadrosunda, belirlenen niteliklere sahip öğretim üyesi bulunmaması durumunda ilgili anabilim/anasanat dalı başkanlığının önerisiyle </w:t>
      </w:r>
      <w:r w:rsidR="004E3206" w:rsidRPr="006F28AE">
        <w:t xml:space="preserve">Enstitü Yönetim Kurulu </w:t>
      </w:r>
      <w:r w:rsidRPr="006F28AE">
        <w:t>tarafından başka bir yükseköğretim kurumundan öğretim üyesi danışman olarak atanabilir.</w:t>
      </w:r>
    </w:p>
    <w:p w:rsidR="00722132" w:rsidRPr="006F28AE" w:rsidRDefault="00722132" w:rsidP="00722132">
      <w:pPr>
        <w:spacing w:before="120"/>
        <w:jc w:val="both"/>
      </w:pPr>
      <w:r w:rsidRPr="006F28AE">
        <w:t>(</w:t>
      </w:r>
      <w:r w:rsidR="004E3206" w:rsidRPr="006F28AE">
        <w:t>5</w:t>
      </w:r>
      <w:r w:rsidRPr="006F28AE">
        <w:t>) Uzmanlık alan dersi; öğrenci sayısına bakılmaksızın her yarıyıl tüm tez aşamasındaki yüksek lisans öğrencileri için danışman öğretim üyesi tarafından haftada üç saat verilmek üzere açılır.</w:t>
      </w:r>
    </w:p>
    <w:p w:rsidR="004E3206" w:rsidRPr="006F28AE" w:rsidRDefault="00722132" w:rsidP="00722132">
      <w:pPr>
        <w:spacing w:before="120"/>
        <w:jc w:val="both"/>
      </w:pPr>
      <w:r w:rsidRPr="006F28AE">
        <w:t>(</w:t>
      </w:r>
      <w:r w:rsidR="004E3206" w:rsidRPr="006F28AE">
        <w:t>6</w:t>
      </w:r>
      <w:r w:rsidRPr="006F28AE">
        <w:t>) Uzmanlık alan dersi; ilgili öğrencinin tez konusunun belirlendiği tarihi izleyen yarıyıldan itibaren açılır, öğrencinin tez savunma sınavının yapıldığı ve başarılı olduğu tarihe kadar ara ve yaz tatillerini de kapsayacak şekilde devam eder.</w:t>
      </w:r>
    </w:p>
    <w:p w:rsidR="00D11820" w:rsidRPr="006F28AE" w:rsidRDefault="00316327" w:rsidP="00722132">
      <w:pPr>
        <w:spacing w:before="120"/>
        <w:jc w:val="both"/>
        <w:rPr>
          <w:b/>
        </w:rPr>
      </w:pPr>
      <w:r w:rsidRPr="006F28AE">
        <w:rPr>
          <w:b/>
        </w:rPr>
        <w:t>M</w:t>
      </w:r>
      <w:r w:rsidR="005E5C1E" w:rsidRPr="006F28AE">
        <w:rPr>
          <w:b/>
        </w:rPr>
        <w:t>adde 29</w:t>
      </w:r>
      <w:r w:rsidR="004E3206" w:rsidRPr="006F28AE">
        <w:rPr>
          <w:b/>
        </w:rPr>
        <w:t xml:space="preserve"> -</w:t>
      </w:r>
      <w:r w:rsidR="00D11820" w:rsidRPr="006F28AE">
        <w:rPr>
          <w:b/>
        </w:rPr>
        <w:t xml:space="preserve"> Yüksek Lisans Tezinin Sonuçlanması</w:t>
      </w:r>
    </w:p>
    <w:p w:rsidR="004E3206" w:rsidRPr="006F28AE" w:rsidRDefault="004E3206" w:rsidP="00D128E5">
      <w:pPr>
        <w:spacing w:before="120"/>
        <w:jc w:val="both"/>
      </w:pPr>
      <w:r w:rsidRPr="006F28AE">
        <w:t xml:space="preserve">(1) </w:t>
      </w:r>
      <w:r w:rsidR="0053039F" w:rsidRPr="006F28AE">
        <w:t xml:space="preserve">Tezli yüksek lisans programındaki bir öğrenci, tezini Enstitü Kurulu tarafından belirlenen tez yazım kurallarına uygun biçimde yazmak ve tezini jüri önünde sözlü olarak savunmak zorundadır. </w:t>
      </w:r>
    </w:p>
    <w:p w:rsidR="004E3206" w:rsidRPr="006F28AE" w:rsidRDefault="004E3206" w:rsidP="00D128E5">
      <w:pPr>
        <w:spacing w:before="120"/>
        <w:jc w:val="both"/>
      </w:pPr>
      <w:r w:rsidRPr="006F28AE">
        <w:t>(2) Tez çalışmasını tamamlayan öğrenci; tezini,  tez danışmanına teslim eder. Tez danışmanı; tezin, tez yazım kurallarına uygunluğunu inceler. Danışman; tezin savunulabilir olduğuna ilişkin yazılı görüşüyle birlikte tezi, anabilim/anasanat dalı başkanlığı aracılığıyla ilgili enstitüye gönderir.</w:t>
      </w:r>
    </w:p>
    <w:p w:rsidR="004E3206" w:rsidRPr="006F28AE" w:rsidRDefault="004E3206" w:rsidP="00D128E5">
      <w:pPr>
        <w:spacing w:before="120"/>
        <w:jc w:val="both"/>
      </w:pPr>
      <w:r w:rsidRPr="006F28AE">
        <w:t xml:space="preserve">(2) </w:t>
      </w:r>
      <w:r w:rsidR="0053039F" w:rsidRPr="006F28AE">
        <w:t xml:space="preserve">Anabilim dallarında yürütülen tüm lisansüstü tezlerin, savunma sınavı öncesinde jüri üyelerine dağıtılan nüshalarında ve mezuniyet aşamasında enstitüye teslim edilen basılı ve elektronik nüshalarında Tez Çalışması benzerlik ve İntihal Raporu’nun bulunması gerekmektedir. Söz konusu rapor, intihal tespit programı TURNITIN’den elde edilen verilere göre hazırlanmalıdır. Bu amaçla tezin yalnızca kapak </w:t>
      </w:r>
      <w:r w:rsidRPr="006F28AE">
        <w:t>s</w:t>
      </w:r>
      <w:r w:rsidR="0053039F" w:rsidRPr="006F28AE">
        <w:t xml:space="preserve">ayfası, giriş, ana bölümler ve sonuç bölümleri tek bir dosya hâlinde TURNITIN programına yüklenmeli, taramadan önce filtreleme seçenekleri “kaynakça hariç, alıntılar hariç/dâhil, 5 kelimeden daha az örtüşme içeren metin kısımları hariç (Limit match size to 5 words) şeklinde ayarlanmalıdır. </w:t>
      </w:r>
    </w:p>
    <w:p w:rsidR="004E3206" w:rsidRPr="006F28AE" w:rsidRDefault="004E3206" w:rsidP="00D128E5">
      <w:pPr>
        <w:spacing w:before="120"/>
        <w:jc w:val="both"/>
      </w:pPr>
      <w:r w:rsidRPr="006F28AE">
        <w:t xml:space="preserve">(3) </w:t>
      </w:r>
      <w:r w:rsidR="0053039F" w:rsidRPr="006F28AE">
        <w:t xml:space="preserve">Tezin, intihal kapsamı dışında değerlendirilmesi için TURNITIN’den alınan raporda “benzerlik oranı”nın, “alıntılar hariç” en fazla %15, “alıntılar dâhil” % 30'u geçmemesi gerekir. Bu oranları sağlamayan tezler, tez savunmasına alınmaz. Tez savunmasına girebilmek için, öğrenci yaptığı araştırmaya ilişkin, araştırmaya başlamadan önce ilgili etik kuruldan aldığı raporu, jüri üyelerine sunmak ve bu raporu tezinin ekler bölümüne koymak zorundadır. Ancak, danışmanın da onayladığı, etik kurulu kararı gerektirmeyen araştırmalar için bu koşul aranmaz. </w:t>
      </w:r>
    </w:p>
    <w:p w:rsidR="004E3206" w:rsidRPr="006F28AE" w:rsidRDefault="004E3206" w:rsidP="00D128E5">
      <w:pPr>
        <w:spacing w:before="120"/>
        <w:jc w:val="both"/>
      </w:pPr>
      <w:r w:rsidRPr="006F28AE">
        <w:t xml:space="preserve">(4) </w:t>
      </w:r>
      <w:r w:rsidR="0053039F" w:rsidRPr="006F28AE">
        <w:t xml:space="preserve">Yüksek lisans tez jürisi, ilgili Enstitü Anabilim Dalı Başkanlığının önerisi ve Enstitü Yönetim Kurulu onayı ile atanır. Jüri, biri öğrencinin tez danışmanı ve en az biri yükseköğretim kurumu içindeki başka bir Anabilim Dalından veya başka bir yükseköğretim kurumundan olmak üzere üç veya beş kişiden oluşur. Jürinin üç kişiden oluşması halinde, varsa, ikinci danışman jüri üyesi olamaz. Jüri üyeleri, söz konusu tezin kendilerine teslim edildiği tarihten itibaren en geç bir ay içinde kişisel raporlarını hazırlayarak toplanır ve öğrenciyi tez sınavına alır. </w:t>
      </w:r>
    </w:p>
    <w:p w:rsidR="004E3206" w:rsidRPr="006F28AE" w:rsidRDefault="004E3206" w:rsidP="00D128E5">
      <w:pPr>
        <w:spacing w:before="120"/>
        <w:jc w:val="both"/>
      </w:pPr>
      <w:r w:rsidRPr="006F28AE">
        <w:t xml:space="preserve">(5) </w:t>
      </w:r>
      <w:r w:rsidR="0053039F" w:rsidRPr="006F28AE">
        <w:t xml:space="preserve">Tez sınavı, tez çalışmasının sunulması ve bunu izleyen soru cevap bölümünden oluşur. 45-90 dakika sürer ve dinleyicilere açık olarak yapılır. Tez sınavının tamamlanmasından sonra jüri, dinleyicilere kapalı olarak, tez hakkında salt çoğunlukla "kabul", "ret" veya "düzeltme" kararını gerekçeli olarak verir. Bu karar, Enstitü Anabilim Dalı Başkanlığınca tez sınavını izleyen üç gün içinde ilgili Enstitüye tutanakla bildirilir. </w:t>
      </w:r>
    </w:p>
    <w:p w:rsidR="00937857" w:rsidRPr="006F28AE" w:rsidRDefault="00937857" w:rsidP="00D128E5">
      <w:pPr>
        <w:spacing w:before="120"/>
        <w:jc w:val="both"/>
      </w:pPr>
      <w:r w:rsidRPr="006F28AE">
        <w:t>(6) Yüksek lisans tezi kabul edilen öğrenci, başarılı olarak değerlendirilir.</w:t>
      </w:r>
    </w:p>
    <w:p w:rsidR="00937857" w:rsidRPr="006F28AE" w:rsidRDefault="00937857" w:rsidP="00D128E5">
      <w:pPr>
        <w:spacing w:before="120"/>
        <w:jc w:val="both"/>
      </w:pPr>
      <w:r w:rsidRPr="006F28AE">
        <w:t>(7) Tezi başarısız bulunarak reddedilen öğrencinin programdan ilişiği kesilir.</w:t>
      </w:r>
    </w:p>
    <w:p w:rsidR="00937857" w:rsidRPr="006F28AE" w:rsidRDefault="00937857" w:rsidP="00937857">
      <w:pPr>
        <w:spacing w:before="120"/>
        <w:jc w:val="both"/>
      </w:pPr>
      <w:r w:rsidRPr="006F28AE">
        <w:t>(8) Yüksek lisans tezi için düzeltme kararı verilen öğrenci, en geç üç ay içinde gerekli düzeltmeleri yaparak tezi,  danışmanına tekrar sunar. Danışmanın tezin savunulabilir olduğuna ilişkin görüşüyle birlikte tez, anabilim/anasanat dalı başkanlığı aracılığıyla enstitüye teslim edilir.</w:t>
      </w:r>
    </w:p>
    <w:p w:rsidR="00937857" w:rsidRPr="006F28AE" w:rsidRDefault="00937857" w:rsidP="00937857">
      <w:pPr>
        <w:spacing w:before="120"/>
        <w:jc w:val="both"/>
      </w:pPr>
      <w:r w:rsidRPr="006F28AE">
        <w:t>(9) Öğrenci, düzelttiği tezini dördüncü fıkrada belirtilen usullerde aynı jüri önünde en geç üç ay içinde yeniden savunur. Bu savunma sonunda da başarısız bulunarak tezi kabul edilmeyen öğrencinin programdan ilişiği kesilir.</w:t>
      </w:r>
    </w:p>
    <w:p w:rsidR="00F102E6" w:rsidRPr="006F28AE" w:rsidRDefault="00F102E6" w:rsidP="00D128E5">
      <w:pPr>
        <w:spacing w:before="120"/>
        <w:jc w:val="both"/>
      </w:pPr>
      <w:r w:rsidRPr="006F28AE">
        <w:t>(1</w:t>
      </w:r>
      <w:r w:rsidR="0054498E" w:rsidRPr="006F28AE">
        <w:t>0</w:t>
      </w:r>
      <w:r w:rsidRPr="006F28AE">
        <w:t>) Tez, öğrenim görülen lisansüstü program dilinde yazılır ancak öğrencinin talebi, danışmanın uygunluk görüşü ve ilgili enstitü yönetim kurulunun onayıyla öğretim dili Türkçe olan lisansüstü program öğrencisi; tezini, İngilizce de yazabilir.</w:t>
      </w:r>
    </w:p>
    <w:p w:rsidR="00D11820" w:rsidRPr="006F28AE" w:rsidRDefault="00316327" w:rsidP="00D128E5">
      <w:pPr>
        <w:spacing w:before="120"/>
        <w:jc w:val="both"/>
        <w:rPr>
          <w:b/>
        </w:rPr>
      </w:pPr>
      <w:r w:rsidRPr="006F28AE">
        <w:rPr>
          <w:b/>
        </w:rPr>
        <w:t>M</w:t>
      </w:r>
      <w:r w:rsidR="004F1677" w:rsidRPr="006F28AE">
        <w:rPr>
          <w:b/>
        </w:rPr>
        <w:t>adde</w:t>
      </w:r>
      <w:r w:rsidR="005E5C1E" w:rsidRPr="006F28AE">
        <w:rPr>
          <w:b/>
        </w:rPr>
        <w:t xml:space="preserve"> 30</w:t>
      </w:r>
      <w:r w:rsidRPr="006F28AE">
        <w:rPr>
          <w:b/>
        </w:rPr>
        <w:t xml:space="preserve"> </w:t>
      </w:r>
      <w:r w:rsidR="005E5C1E" w:rsidRPr="006F28AE">
        <w:rPr>
          <w:b/>
        </w:rPr>
        <w:t xml:space="preserve">- Tezli </w:t>
      </w:r>
      <w:r w:rsidR="00D11820" w:rsidRPr="006F28AE">
        <w:rPr>
          <w:b/>
        </w:rPr>
        <w:t>Yüksek Lisans Diploması</w:t>
      </w:r>
    </w:p>
    <w:p w:rsidR="004F1677" w:rsidRPr="006F28AE" w:rsidRDefault="004F1677" w:rsidP="004F1677">
      <w:pPr>
        <w:spacing w:before="120"/>
        <w:jc w:val="both"/>
      </w:pPr>
      <w:r w:rsidRPr="006F28AE">
        <w:t>(1) Tez sınavında başarılı olmak ve mezuniyet için diğer koşulları da sağlamak kaydıyla yüksek lisans tezinin</w:t>
      </w:r>
      <w:r w:rsidR="0054498E" w:rsidRPr="006F28AE">
        <w:t xml:space="preserve"> ciltlenmiş en az altı kopyası ile CD ve benzeri dijital ortamdaki bir nüshasını tez sınavına giriş tarihinden itibaren bir ay içinde ilgili Enstitü ile KISBÜ Kütüphanesine teslim eden ve tezi şekil yönünden uygun bulunan öğrenciye Yüksek Lisans Diploması verilir. </w:t>
      </w:r>
      <w:r w:rsidRPr="006F28AE">
        <w:t>Enstitü yönetim kurulu, teslim süresini en fazla bir ay daha uzatabilir. Sanat çalışması yapan bir öğrenci, tezi ile birlikte özgün çalışmasını da Enstitüye teslim etmek zorundadır. Bu koşulları yerine getirmeyen öğrenci; koşulları yerine getirinceye kadar diplomasını alamaz, öğrencilik haklarından yararlanamaz ve azami süresinin dolması durumunda programdan ilişiği kesilir.</w:t>
      </w:r>
    </w:p>
    <w:p w:rsidR="009F11CB" w:rsidRPr="006F28AE" w:rsidRDefault="004F1677" w:rsidP="004F1677">
      <w:pPr>
        <w:spacing w:before="120"/>
        <w:jc w:val="both"/>
      </w:pPr>
      <w:r w:rsidRPr="006F28AE">
        <w:t xml:space="preserve">(2) Tezli yüksek lisans diploması üzerinde öğrencinin </w:t>
      </w:r>
      <w:r w:rsidR="009F11CB" w:rsidRPr="006F28AE">
        <w:t xml:space="preserve">kayıtlı olduğu Enstitü Anabilim Dalındaki programın </w:t>
      </w:r>
      <w:r w:rsidR="00B34EC8" w:rsidRPr="006F28AE">
        <w:t xml:space="preserve">Üniversite tarafından </w:t>
      </w:r>
      <w:r w:rsidR="009F11CB" w:rsidRPr="006F28AE">
        <w:t xml:space="preserve">onaylanmış adı ve varsa, meslek unvanı yazılır. </w:t>
      </w:r>
    </w:p>
    <w:p w:rsidR="004F1677" w:rsidRPr="006F28AE" w:rsidRDefault="004F1677" w:rsidP="004F1677">
      <w:pPr>
        <w:spacing w:before="120"/>
        <w:jc w:val="both"/>
      </w:pPr>
      <w:r w:rsidRPr="006F28AE">
        <w:t>(3) Mezuniyet tarihi, tezin kabul edildiği tez savunma sınavı tarihidir; anasanat dalı programlarına kayıtlı öğrenciler için ise tez savunma sınavı ve başarılı olunan uygulamalı sınav tarihidir.</w:t>
      </w:r>
    </w:p>
    <w:p w:rsidR="004F1677" w:rsidRPr="006F28AE" w:rsidRDefault="004F1677" w:rsidP="004F1677">
      <w:pPr>
        <w:spacing w:before="120"/>
        <w:jc w:val="both"/>
        <w:rPr>
          <w:b/>
        </w:rPr>
      </w:pPr>
      <w:r w:rsidRPr="006F28AE">
        <w:t>(5) Tezli yüksek lisans programındaki tezi reddedilen öğrencinin talepte bulunması durumunda, reddedilen tezinin enstitü yönetim kurulu tarafından dönem projesi olarak kabul edilmesi ve en az 90 AKTS kredilik dersi almış olması koşuluyla kendisine tezsiz yüksek lisans diploması verilir.</w:t>
      </w:r>
      <w:r w:rsidRPr="006F28AE">
        <w:rPr>
          <w:b/>
        </w:rPr>
        <w:t xml:space="preserve"> </w:t>
      </w:r>
    </w:p>
    <w:p w:rsidR="0054498E" w:rsidRPr="006F28AE" w:rsidRDefault="0054498E" w:rsidP="0054498E"/>
    <w:p w:rsidR="0054498E" w:rsidRPr="006F28AE" w:rsidRDefault="0054498E" w:rsidP="0054498E">
      <w:pPr>
        <w:rPr>
          <w:b/>
        </w:rPr>
      </w:pPr>
      <w:r w:rsidRPr="006F28AE">
        <w:rPr>
          <w:b/>
        </w:rPr>
        <w:t>Madde 3</w:t>
      </w:r>
      <w:r w:rsidR="005E5C1E" w:rsidRPr="006F28AE">
        <w:rPr>
          <w:b/>
        </w:rPr>
        <w:t>1</w:t>
      </w:r>
      <w:r w:rsidRPr="006F28AE">
        <w:rPr>
          <w:b/>
        </w:rPr>
        <w:t xml:space="preserve"> - Tezsiz Yüksek Lisans </w:t>
      </w:r>
      <w:r w:rsidR="003F0A89" w:rsidRPr="006F28AE">
        <w:rPr>
          <w:b/>
        </w:rPr>
        <w:t>Programı</w:t>
      </w:r>
    </w:p>
    <w:p w:rsidR="0054498E" w:rsidRPr="006F28AE" w:rsidRDefault="0054498E" w:rsidP="00D128E5">
      <w:pPr>
        <w:spacing w:before="120"/>
        <w:jc w:val="both"/>
      </w:pPr>
      <w:r w:rsidRPr="006F28AE">
        <w:t xml:space="preserve">(1) </w:t>
      </w:r>
      <w:r w:rsidR="0053039F" w:rsidRPr="006F28AE">
        <w:t xml:space="preserve">Tezsiz yüksek lisans programının amacı, öğrenciye mesleki konuda derin bilgi kazandırmak ve mevcut bilginin uygulamada nasıl kullanılacağını göstermektir. </w:t>
      </w:r>
    </w:p>
    <w:p w:rsidR="004D15A5" w:rsidRPr="006F28AE" w:rsidRDefault="004D15A5" w:rsidP="00D128E5">
      <w:pPr>
        <w:spacing w:before="120"/>
        <w:jc w:val="both"/>
      </w:pPr>
      <w:r w:rsidRPr="006F28AE">
        <w:t xml:space="preserve">(2) </w:t>
      </w:r>
      <w:r w:rsidR="0053039F" w:rsidRPr="006F28AE">
        <w:t xml:space="preserve">Bu program toplam otuz yerel kredi ve 90 AKTS kredisinden az olmamak koşuluyla en az on ders ile dönem projesinden oluşur. </w:t>
      </w:r>
      <w:r w:rsidRPr="006F28AE">
        <w:t xml:space="preserve">Bir yarıyılda 60 AKTS’den fazla ders alınamaz. </w:t>
      </w:r>
      <w:r w:rsidR="0053039F" w:rsidRPr="006F28AE">
        <w:t>Dönem projesinin kapsamı, koşulları ilgili Enstitü Kurulu tarafından belirlenir. Dönem projesi "başarılı"</w:t>
      </w:r>
      <w:r w:rsidRPr="006F28AE">
        <w:t xml:space="preserve"> (YT)</w:t>
      </w:r>
      <w:r w:rsidR="0053039F" w:rsidRPr="006F28AE">
        <w:t xml:space="preserve"> veya "başarısız"</w:t>
      </w:r>
      <w:r w:rsidRPr="006F28AE">
        <w:t xml:space="preserve"> (YZ)</w:t>
      </w:r>
      <w:r w:rsidR="0053039F" w:rsidRPr="006F28AE">
        <w:t xml:space="preserve"> olarak değerlendirilir. </w:t>
      </w:r>
    </w:p>
    <w:p w:rsidR="004D15A5" w:rsidRPr="006F28AE" w:rsidRDefault="004D15A5" w:rsidP="00D128E5">
      <w:pPr>
        <w:spacing w:before="120"/>
        <w:jc w:val="both"/>
      </w:pPr>
      <w:r w:rsidRPr="006F28AE">
        <w:t xml:space="preserve">(3) </w:t>
      </w:r>
      <w:r w:rsidR="0053039F" w:rsidRPr="006F28AE">
        <w:t xml:space="preserve">Öğrenci, dönem projesinin alındığı yarıyılda Enstitüye kayıt yaptırmak ve yarıyıl sonunda yazılı bir rapor vermek zorundadır. </w:t>
      </w:r>
    </w:p>
    <w:p w:rsidR="0053039F" w:rsidRPr="006F28AE" w:rsidRDefault="004D15A5" w:rsidP="00D128E5">
      <w:pPr>
        <w:spacing w:before="120"/>
        <w:jc w:val="both"/>
      </w:pPr>
      <w:r w:rsidRPr="006F28AE">
        <w:t>(4) İlgili</w:t>
      </w:r>
      <w:r w:rsidR="0053039F" w:rsidRPr="006F28AE">
        <w:t xml:space="preserve"> </w:t>
      </w:r>
      <w:r w:rsidRPr="006F28AE">
        <w:t>a</w:t>
      </w:r>
      <w:r w:rsidR="0053039F" w:rsidRPr="006F28AE">
        <w:t>nabilim</w:t>
      </w:r>
      <w:r w:rsidRPr="006F28AE">
        <w:t>/anasanat</w:t>
      </w:r>
      <w:r w:rsidR="0053039F" w:rsidRPr="006F28AE">
        <w:t xml:space="preserve"> </w:t>
      </w:r>
      <w:r w:rsidRPr="006F28AE">
        <w:t>d</w:t>
      </w:r>
      <w:r w:rsidR="0053039F" w:rsidRPr="006F28AE">
        <w:t xml:space="preserve">alının önerisi üzerine, Enstitü Yönetim Kurulunun Kararı ile bir yeterlik sınavı da yapılabilir. Öğrencinin alacağı derslerin en çok üçü, lisans öğrenimi sırasında alınmamış olması koşuluyla, lisans derslerinden seçilebilir. İlgili </w:t>
      </w:r>
      <w:r w:rsidRPr="006F28AE">
        <w:t>anabilim/anasanat dalının önerisi</w:t>
      </w:r>
      <w:r w:rsidR="0053039F" w:rsidRPr="006F28AE">
        <w:t xml:space="preserve"> ve Enstitü Kurulunun Kararı ile tezsiz yüksek lisans programına kabul için özel koşullar konulabilir. </w:t>
      </w:r>
    </w:p>
    <w:p w:rsidR="004D15A5" w:rsidRPr="006F28AE" w:rsidRDefault="005E5C1E" w:rsidP="00D128E5">
      <w:pPr>
        <w:spacing w:before="120"/>
        <w:jc w:val="both"/>
        <w:rPr>
          <w:b/>
        </w:rPr>
      </w:pPr>
      <w:r w:rsidRPr="006F28AE">
        <w:rPr>
          <w:b/>
        </w:rPr>
        <w:t>Madde 32</w:t>
      </w:r>
      <w:r w:rsidR="004D15A5" w:rsidRPr="006F28AE">
        <w:rPr>
          <w:b/>
        </w:rPr>
        <w:t xml:space="preserve"> - Öğrenim Süresi</w:t>
      </w:r>
    </w:p>
    <w:p w:rsidR="004D15A5" w:rsidRPr="006F28AE" w:rsidRDefault="004D15A5" w:rsidP="004D15A5">
      <w:pPr>
        <w:spacing w:before="120"/>
        <w:jc w:val="both"/>
      </w:pPr>
      <w:r w:rsidRPr="006F28AE">
        <w:t xml:space="preserve">(1) Tezsiz yüksek lisans programını tamamlama süresi; bilimsel hazırlıkta geçen süre hariç, kayıtlı olduğu programa ilişkin derslerin verildiği dönemden başlamak üzere, her dönem için öğrencinin kayıt yaptırıp yaptırmadığına bakılmaksızın en az iki yarıyıl, en fazla sekiz yarıyıldır. Bu sürenin sonunda başarısız olan veya programı tamamlayamayan öğrencinin programdan ilişiği kesilir. Yönetmelik uyarınca başarısız olan öğrencinin Enstitü ile ilişiği bu süreden önce de kesilebilir </w:t>
      </w:r>
    </w:p>
    <w:p w:rsidR="004D15A5" w:rsidRDefault="004D15A5" w:rsidP="004D15A5">
      <w:pPr>
        <w:spacing w:before="120"/>
        <w:jc w:val="both"/>
      </w:pPr>
      <w:r w:rsidRPr="006F28AE">
        <w:t>(2) Tezsiz yüksek lisans programında bir öğrencinin başarılı sayılabilmesi için; aldığı derslerden YT, CC veya bunun üzerinde bir not almış olması, en az 2,50 GNO’yu sağlamış olması ve dönem projesi dersinden YT notu alarak şekil yönünden tez yazım kılavuzuna uygun yazılmış ve danışmanı tarafından onaylanmış ciltli iki kopya dönem projesini akademik takvimde belirtilen dönem sonu sınavlarının tamamlandığı tarihe kadar enstitü müdürlüğüne teslim etmiş olması gerekir.</w:t>
      </w:r>
    </w:p>
    <w:p w:rsidR="00D11820" w:rsidRPr="00D11820" w:rsidRDefault="00316327" w:rsidP="00D128E5">
      <w:pPr>
        <w:spacing w:before="120"/>
        <w:jc w:val="both"/>
        <w:rPr>
          <w:b/>
        </w:rPr>
      </w:pPr>
      <w:r>
        <w:rPr>
          <w:b/>
        </w:rPr>
        <w:t>M</w:t>
      </w:r>
      <w:r w:rsidR="004D15A5">
        <w:rPr>
          <w:b/>
        </w:rPr>
        <w:t>adde</w:t>
      </w:r>
      <w:r>
        <w:rPr>
          <w:b/>
        </w:rPr>
        <w:t xml:space="preserve"> </w:t>
      </w:r>
      <w:r w:rsidR="004D15A5">
        <w:rPr>
          <w:b/>
        </w:rPr>
        <w:t>3</w:t>
      </w:r>
      <w:r w:rsidR="005E5C1E">
        <w:rPr>
          <w:b/>
        </w:rPr>
        <w:t>3</w:t>
      </w:r>
      <w:r w:rsidR="004D15A5">
        <w:rPr>
          <w:b/>
        </w:rPr>
        <w:t xml:space="preserve"> -</w:t>
      </w:r>
      <w:r w:rsidR="00D11820" w:rsidRPr="00D11820">
        <w:rPr>
          <w:b/>
        </w:rPr>
        <w:t xml:space="preserve"> Danışman Atanması </w:t>
      </w:r>
    </w:p>
    <w:p w:rsidR="009F11CB" w:rsidRDefault="009F11CB" w:rsidP="00D128E5">
      <w:pPr>
        <w:spacing w:before="120"/>
        <w:jc w:val="both"/>
      </w:pPr>
      <w:r>
        <w:t xml:space="preserve">(1) </w:t>
      </w:r>
      <w:r w:rsidR="0053039F">
        <w:t xml:space="preserve">Tezsiz yüksek lisans programında, Enstitü Anabilim Dalı Başkanlığı her öğrenci için ders seçiminde ve dönem projesinin yürütülmesinde danışmanlık yapacak bir öğretim üyesini en geç birinci yarıyılın sonuna kadar belirler. </w:t>
      </w:r>
    </w:p>
    <w:p w:rsidR="0053039F" w:rsidRDefault="009F11CB" w:rsidP="00D128E5">
      <w:pPr>
        <w:spacing w:before="120"/>
        <w:jc w:val="both"/>
      </w:pPr>
      <w:r>
        <w:t xml:space="preserve">(2) </w:t>
      </w:r>
      <w:r w:rsidR="0053039F">
        <w:t xml:space="preserve">Danışman atanması Enstitü Yönetim Kurulu onayı ile kesinleşir. Danışman atanmasında, bir danışmana düşecek lisansüstü öğrenci sayısı Enstitü Anabilim Dalının özelliği dikkate alınarak Enstitü Kurulu tarafından belirlenir. </w:t>
      </w:r>
    </w:p>
    <w:p w:rsidR="00D11820" w:rsidRPr="00D11820" w:rsidRDefault="00316327" w:rsidP="00D128E5">
      <w:pPr>
        <w:spacing w:before="120"/>
        <w:jc w:val="both"/>
        <w:rPr>
          <w:b/>
        </w:rPr>
      </w:pPr>
      <w:r>
        <w:rPr>
          <w:b/>
        </w:rPr>
        <w:t>M</w:t>
      </w:r>
      <w:r w:rsidR="009F11CB">
        <w:rPr>
          <w:b/>
        </w:rPr>
        <w:t>adde</w:t>
      </w:r>
      <w:r>
        <w:rPr>
          <w:b/>
        </w:rPr>
        <w:t xml:space="preserve"> </w:t>
      </w:r>
      <w:r w:rsidR="009F11CB">
        <w:rPr>
          <w:b/>
        </w:rPr>
        <w:t>3</w:t>
      </w:r>
      <w:r w:rsidR="005E5C1E">
        <w:rPr>
          <w:b/>
        </w:rPr>
        <w:t>4</w:t>
      </w:r>
      <w:r w:rsidR="009F11CB">
        <w:rPr>
          <w:b/>
        </w:rPr>
        <w:t xml:space="preserve"> - </w:t>
      </w:r>
      <w:r w:rsidR="00D11820" w:rsidRPr="00D11820">
        <w:rPr>
          <w:b/>
        </w:rPr>
        <w:t>Tezsiz Yüksek Lisans Diploması</w:t>
      </w:r>
    </w:p>
    <w:p w:rsidR="009F11CB" w:rsidRDefault="009F11CB" w:rsidP="00D128E5">
      <w:pPr>
        <w:spacing w:before="120"/>
        <w:jc w:val="both"/>
      </w:pPr>
      <w:r>
        <w:t xml:space="preserve">(1) </w:t>
      </w:r>
      <w:r w:rsidR="0053039F">
        <w:t xml:space="preserve">Kredili derslerini ve dönem projesini başarıyla tamamlayan </w:t>
      </w:r>
      <w:r>
        <w:t>öğrenciye</w:t>
      </w:r>
      <w:r w:rsidR="0053039F">
        <w:t xml:space="preserve"> Tezsiz Yüksek Lisans Diploması verilir. </w:t>
      </w:r>
    </w:p>
    <w:p w:rsidR="0053039F" w:rsidRDefault="009F11CB" w:rsidP="00D128E5">
      <w:pPr>
        <w:spacing w:before="120"/>
        <w:jc w:val="both"/>
      </w:pPr>
      <w:r>
        <w:t xml:space="preserve">(2) </w:t>
      </w:r>
      <w:r w:rsidR="0053039F">
        <w:t xml:space="preserve">Tezsiz Yüksek Lisans Diploması üzerinde öğrencinin </w:t>
      </w:r>
      <w:r>
        <w:t>kayıtlı</w:t>
      </w:r>
      <w:r w:rsidR="0053039F">
        <w:t xml:space="preserve"> olduğu Enstitü Anabilim Dalındaki programın </w:t>
      </w:r>
      <w:r w:rsidR="00B34EC8">
        <w:t xml:space="preserve">Üniversite tarafından onaylanmış </w:t>
      </w:r>
      <w:r w:rsidR="0053039F">
        <w:t xml:space="preserve">adı ve varsa, meslek unvanı yazılır. </w:t>
      </w:r>
    </w:p>
    <w:p w:rsidR="00B34EC8" w:rsidRDefault="00B34EC8" w:rsidP="00D128E5">
      <w:pPr>
        <w:spacing w:before="120"/>
        <w:jc w:val="both"/>
        <w:rPr>
          <w:b/>
        </w:rPr>
      </w:pPr>
    </w:p>
    <w:p w:rsidR="00D11820" w:rsidRPr="00D11820" w:rsidRDefault="0053039F" w:rsidP="00B34EC8">
      <w:pPr>
        <w:spacing w:before="120"/>
        <w:jc w:val="center"/>
        <w:rPr>
          <w:b/>
        </w:rPr>
      </w:pPr>
      <w:r w:rsidRPr="00D11820">
        <w:rPr>
          <w:b/>
        </w:rPr>
        <w:t>DÖRDÜNCÜ BÖLÜM</w:t>
      </w:r>
    </w:p>
    <w:p w:rsidR="002C4810" w:rsidRDefault="002C4810" w:rsidP="002C4810">
      <w:pPr>
        <w:spacing w:before="120"/>
        <w:jc w:val="center"/>
        <w:rPr>
          <w:b/>
        </w:rPr>
      </w:pPr>
      <w:r w:rsidRPr="002C4810">
        <w:rPr>
          <w:b/>
        </w:rPr>
        <w:t>Doktora Programıyla İlgili Esaslar</w:t>
      </w:r>
    </w:p>
    <w:p w:rsidR="00D11820" w:rsidRPr="00D11820" w:rsidRDefault="00316327" w:rsidP="00D128E5">
      <w:pPr>
        <w:spacing w:before="120"/>
        <w:jc w:val="both"/>
        <w:rPr>
          <w:b/>
        </w:rPr>
      </w:pPr>
      <w:r>
        <w:rPr>
          <w:b/>
        </w:rPr>
        <w:t>M</w:t>
      </w:r>
      <w:r w:rsidR="003F0A89">
        <w:rPr>
          <w:b/>
        </w:rPr>
        <w:t>adde</w:t>
      </w:r>
      <w:r>
        <w:rPr>
          <w:b/>
        </w:rPr>
        <w:t xml:space="preserve"> </w:t>
      </w:r>
      <w:r w:rsidR="00B34EC8">
        <w:rPr>
          <w:b/>
        </w:rPr>
        <w:t>3</w:t>
      </w:r>
      <w:r w:rsidR="005E5C1E">
        <w:rPr>
          <w:b/>
        </w:rPr>
        <w:t>5</w:t>
      </w:r>
      <w:r w:rsidR="00B34EC8">
        <w:rPr>
          <w:b/>
        </w:rPr>
        <w:t xml:space="preserve"> </w:t>
      </w:r>
      <w:r w:rsidR="003F0A89">
        <w:rPr>
          <w:b/>
        </w:rPr>
        <w:t>-</w:t>
      </w:r>
      <w:r w:rsidR="0053039F" w:rsidRPr="00D11820">
        <w:rPr>
          <w:b/>
        </w:rPr>
        <w:t xml:space="preserve"> </w:t>
      </w:r>
      <w:r w:rsidR="003F0A89">
        <w:rPr>
          <w:b/>
        </w:rPr>
        <w:t>Doktora Programı</w:t>
      </w:r>
      <w:r w:rsidR="00D11820" w:rsidRPr="00D11820">
        <w:rPr>
          <w:b/>
        </w:rPr>
        <w:t xml:space="preserve"> </w:t>
      </w:r>
    </w:p>
    <w:p w:rsidR="003F0A89" w:rsidRDefault="003F0A89" w:rsidP="00D128E5">
      <w:pPr>
        <w:spacing w:before="120"/>
        <w:jc w:val="both"/>
      </w:pPr>
      <w:r>
        <w:t xml:space="preserve">(1) </w:t>
      </w:r>
      <w:r w:rsidR="0053039F">
        <w:t xml:space="preserve">Doktora programının amacı, öğrenciye bağımsız araştırma yapmak, bilimsel olayları geniş ve derin bir bakış açısı ile irdeleyerek yorum yapmak ve yeni sentezlere ulaşmak için gerekli adımları belirleme yeteneği kazandırmaktır. </w:t>
      </w:r>
    </w:p>
    <w:p w:rsidR="0053039F" w:rsidRDefault="003F0A89" w:rsidP="00D128E5">
      <w:pPr>
        <w:spacing w:before="120"/>
        <w:jc w:val="both"/>
      </w:pPr>
      <w:r>
        <w:t xml:space="preserve">(2) </w:t>
      </w:r>
      <w:r w:rsidR="00D57D8D" w:rsidRPr="00D57D8D">
        <w:t>Doktora çalışması sonunda hazırlanacak tezin; bilime yenilik getirme, yeni bir bilimsel yöntem geliştirme ve bilinen bir yöntemi yeni bir alana uygulama niteliklerinden en az birini yerine getirmesi gerekir.</w:t>
      </w:r>
    </w:p>
    <w:p w:rsidR="003F0A89" w:rsidRDefault="003F0A89" w:rsidP="00D128E5">
      <w:pPr>
        <w:spacing w:before="120"/>
        <w:jc w:val="both"/>
      </w:pPr>
      <w:r>
        <w:t xml:space="preserve">(3) </w:t>
      </w:r>
      <w:r w:rsidR="0053039F">
        <w:t xml:space="preserve">Doktora programı, yüksek lisans derecesi ile başvuranlar için toplam </w:t>
      </w:r>
      <w:r w:rsidR="00AC35C2">
        <w:t>yirmi bir (</w:t>
      </w:r>
      <w:r w:rsidR="0053039F">
        <w:t>21</w:t>
      </w:r>
      <w:r w:rsidR="00AC35C2">
        <w:t>)</w:t>
      </w:r>
      <w:r w:rsidR="0053039F">
        <w:t xml:space="preserve"> kredi ve bir eğitim-öğretim dönemi</w:t>
      </w:r>
      <w:r w:rsidR="00D57D8D">
        <w:t>nde</w:t>
      </w:r>
      <w:r w:rsidR="0053039F">
        <w:t xml:space="preserve"> </w:t>
      </w:r>
      <w:r w:rsidR="00AC35C2">
        <w:t>altmış (</w:t>
      </w:r>
      <w:r w:rsidR="0053039F">
        <w:t>60</w:t>
      </w:r>
      <w:r w:rsidR="00AC35C2">
        <w:t>)</w:t>
      </w:r>
      <w:r w:rsidR="0053039F">
        <w:t xml:space="preserve"> AKTS’den az olmamak koşuluyla en az yedi ders, seminer, yeterlik sınavı, tez önerisi ve tez çalışması olmak üzere en az 240 AKTS kredisinden oluşur. </w:t>
      </w:r>
    </w:p>
    <w:p w:rsidR="003F0A89" w:rsidRDefault="003F0A89" w:rsidP="00D128E5">
      <w:pPr>
        <w:spacing w:before="120"/>
        <w:jc w:val="both"/>
      </w:pPr>
      <w:r>
        <w:t xml:space="preserve">(4) </w:t>
      </w:r>
      <w:r w:rsidR="0053039F">
        <w:t xml:space="preserve">Lisansüstü dersler, ilgili </w:t>
      </w:r>
      <w:r>
        <w:t>a</w:t>
      </w:r>
      <w:r w:rsidR="0053039F">
        <w:t xml:space="preserve">nabilim </w:t>
      </w:r>
      <w:r>
        <w:t>d</w:t>
      </w:r>
      <w:r w:rsidR="0053039F">
        <w:t xml:space="preserve">alı </w:t>
      </w:r>
      <w:r>
        <w:t>b</w:t>
      </w:r>
      <w:r w:rsidR="0053039F">
        <w:t xml:space="preserve">aşkanlığının önerisi ve Enstitü Yönetim Kurulunun onayı ile diğer yükseköğretim kurumlarında verilmekte olan derslerden de seçilebilir. Enstitü Kurulu disiplinlerarası nitelikte zorunlu veya seçmeli dersler açılmasına karar verebilir. Her yarıyılın ilk iki haftası içerisinde ders değişikliği ve ders ekleme yapılabilir. </w:t>
      </w:r>
    </w:p>
    <w:p w:rsidR="003F0A89" w:rsidRDefault="003F0A89" w:rsidP="00D128E5">
      <w:pPr>
        <w:spacing w:before="120"/>
        <w:jc w:val="both"/>
      </w:pPr>
      <w:r>
        <w:t xml:space="preserve">(5) </w:t>
      </w:r>
      <w:r w:rsidR="0053039F">
        <w:t xml:space="preserve">Lisans dersleri ders yüküne ve doktora kredisine sayılmaz. </w:t>
      </w:r>
    </w:p>
    <w:p w:rsidR="0053039F" w:rsidRPr="00D11820" w:rsidRDefault="003F0A89" w:rsidP="00D128E5">
      <w:pPr>
        <w:spacing w:before="120"/>
        <w:jc w:val="both"/>
      </w:pPr>
      <w:r>
        <w:t xml:space="preserve">(6) </w:t>
      </w:r>
      <w:r w:rsidR="0053039F">
        <w:t>Doktora programları yurtiçi ve yurtdışı entegre doktora programları şeklinde de düzenlenebilir. Bu programların uygulama usul ve esasları, Kıbrıs Sosyal Bilimler Üniversitesi Sena</w:t>
      </w:r>
      <w:r w:rsidR="00D11820">
        <w:t xml:space="preserve">tosunun kararı ile belirlenir. </w:t>
      </w:r>
    </w:p>
    <w:p w:rsidR="0053039F" w:rsidRPr="00D11820" w:rsidRDefault="00316327" w:rsidP="00D128E5">
      <w:pPr>
        <w:spacing w:before="120"/>
        <w:jc w:val="both"/>
        <w:rPr>
          <w:b/>
        </w:rPr>
      </w:pPr>
      <w:r>
        <w:rPr>
          <w:b/>
        </w:rPr>
        <w:t>M</w:t>
      </w:r>
      <w:r w:rsidR="005E5C1E">
        <w:rPr>
          <w:b/>
        </w:rPr>
        <w:t>adde 36 - Öğrenim</w:t>
      </w:r>
      <w:r w:rsidR="00D11820" w:rsidRPr="00D11820">
        <w:rPr>
          <w:b/>
        </w:rPr>
        <w:t xml:space="preserve"> Süre</w:t>
      </w:r>
      <w:r w:rsidR="005E5C1E">
        <w:rPr>
          <w:b/>
        </w:rPr>
        <w:t>si</w:t>
      </w:r>
      <w:r w:rsidR="00D11820" w:rsidRPr="00D11820">
        <w:rPr>
          <w:b/>
        </w:rPr>
        <w:t xml:space="preserve"> </w:t>
      </w:r>
    </w:p>
    <w:p w:rsidR="0053039F" w:rsidRDefault="005E5C1E" w:rsidP="00D128E5">
      <w:pPr>
        <w:spacing w:before="120"/>
        <w:jc w:val="both"/>
      </w:pPr>
      <w:r>
        <w:t>(1</w:t>
      </w:r>
      <w:r w:rsidR="0053039F">
        <w:t xml:space="preserve">) Doktora programı, bilimsel hazırlıkta geçen süre hariç kayıt olduğu programa ilişkin derslerin verildiği dönemden başlamak üzere, her dönem için kayıt yaptırıp yaptırmadığına bakılmaksızın sekiz yarıyıl olup azami tamamlama süresi on iki yarıyıldır. KKTC ve Uluslararası öğrenciler içinse doktora programını tamamlama süresi en az altı yarıyılıdır. </w:t>
      </w:r>
    </w:p>
    <w:p w:rsidR="0053039F" w:rsidRDefault="005E5C1E" w:rsidP="00D128E5">
      <w:pPr>
        <w:spacing w:before="120"/>
        <w:jc w:val="both"/>
      </w:pPr>
      <w:r>
        <w:t>(2</w:t>
      </w:r>
      <w:r w:rsidR="0053039F">
        <w:t xml:space="preserve">) Doktora programı için gerekli kredili dersleri başarı ile tamamlamanın azami süresi </w:t>
      </w:r>
      <w:r w:rsidR="0022005A">
        <w:t>dört (</w:t>
      </w:r>
      <w:r w:rsidR="0053039F">
        <w:t>4</w:t>
      </w:r>
      <w:r w:rsidR="0022005A">
        <w:t>)</w:t>
      </w:r>
      <w:r w:rsidR="0053039F">
        <w:t xml:space="preserve"> yarıyıldır. Bu süre içinde kredili derslerini başarı ile tamamlayamayanlar veya bu yönetmeliğin öngördüğü en az genel not ortalamasını tutturamayanların Enstitü ile ilişiği kesilir. </w:t>
      </w:r>
    </w:p>
    <w:p w:rsidR="0053039F" w:rsidRDefault="005E5C1E" w:rsidP="00D128E5">
      <w:pPr>
        <w:spacing w:before="120"/>
        <w:jc w:val="both"/>
      </w:pPr>
      <w:r>
        <w:t>(3</w:t>
      </w:r>
      <w:r w:rsidR="0053039F">
        <w:t>) Kredili derslerini başarıyla bitiren, yeterlik sınavında başarılı bulunan ve tez önerisi kabul edilen,  ancak tez çalışmasını (</w:t>
      </w:r>
      <w:r>
        <w:t>1</w:t>
      </w:r>
      <w:r w:rsidR="0053039F">
        <w:t>)</w:t>
      </w:r>
      <w:r>
        <w:t>’inci</w:t>
      </w:r>
      <w:r w:rsidR="0053039F">
        <w:t xml:space="preserve"> </w:t>
      </w:r>
      <w:r>
        <w:t>fıkrada</w:t>
      </w:r>
      <w:r w:rsidR="0053039F">
        <w:t xml:space="preserve"> belirtildiği üzere sekiz yarıyıl sonuna kadar tamamlayamadığı için tez sınavına giremeyen bir öğrenciye ilgili tez danışmanı ve/veya Enstitü Anabilim Dalı başkanlığının önerisi ve Enstitü Yönetim Kurulu onayı ile tezini jüri önünde savunabilmesi için en çok dört yarıyıl ek süre verilebilir. </w:t>
      </w:r>
    </w:p>
    <w:p w:rsidR="005E5C1E" w:rsidRPr="006F28AE" w:rsidRDefault="005E5C1E" w:rsidP="005E5C1E">
      <w:pPr>
        <w:spacing w:before="120"/>
        <w:jc w:val="both"/>
      </w:pPr>
      <w:r w:rsidRPr="006F28AE">
        <w:t>(4) Öğrenci, doktora/sanatta yeterlik programının mezuniyet koşullarını yerine getirdiği takdirde, programın süresinden önce de mezun olabilir.</w:t>
      </w:r>
    </w:p>
    <w:p w:rsidR="005E5C1E" w:rsidRPr="006F28AE" w:rsidRDefault="005E5C1E" w:rsidP="005E5C1E">
      <w:pPr>
        <w:spacing w:before="120"/>
        <w:jc w:val="both"/>
      </w:pPr>
      <w:r w:rsidRPr="006F28AE">
        <w:t>(5) Doktora yeterlik öğrencisinin başarılı sayılabilmesi için aldığı tüm derslerden YT, CC veya bunun üzerinde bir harf notu alması ve en az 3,00 GNO’yu sağlaması gerekir.</w:t>
      </w:r>
    </w:p>
    <w:p w:rsidR="00D11820" w:rsidRPr="006F28AE" w:rsidRDefault="005E5C1E" w:rsidP="00D128E5">
      <w:pPr>
        <w:spacing w:before="120"/>
        <w:jc w:val="both"/>
        <w:rPr>
          <w:b/>
        </w:rPr>
      </w:pPr>
      <w:r w:rsidRPr="006F28AE">
        <w:rPr>
          <w:b/>
        </w:rPr>
        <w:t xml:space="preserve">Madde 37 - </w:t>
      </w:r>
      <w:r w:rsidR="00D11820" w:rsidRPr="006F28AE">
        <w:rPr>
          <w:b/>
        </w:rPr>
        <w:t>Tez Danışmanı Atanması ve Değiştirilmesi</w:t>
      </w:r>
    </w:p>
    <w:p w:rsidR="005E5C1E" w:rsidRPr="006F28AE" w:rsidRDefault="005E5C1E" w:rsidP="00D128E5">
      <w:pPr>
        <w:spacing w:before="120"/>
        <w:jc w:val="both"/>
      </w:pPr>
      <w:r w:rsidRPr="006F28AE">
        <w:t xml:space="preserve">(1) </w:t>
      </w:r>
      <w:r w:rsidR="0053039F" w:rsidRPr="006F28AE">
        <w:t xml:space="preserve">Enstitü Anabilim Dalı Başkanlığı her öğrenci için öğrencinin bilimsel faaliyetlerini, çalışmak istediği alanı ve danışman tercihini de dikkate alarak, tez danışmanını Enstitüye önerir. Tez danışmanı önerisi Enstitü Yönetim Kurulu kararıyla kesinleşir. Tez danışmanının, en geç birinci yarıyılın sonuna kadar atanması zorunludur. </w:t>
      </w:r>
    </w:p>
    <w:p w:rsidR="005E5C1E" w:rsidRPr="006F28AE" w:rsidRDefault="005E5C1E" w:rsidP="00D128E5">
      <w:pPr>
        <w:spacing w:before="120"/>
        <w:jc w:val="both"/>
      </w:pPr>
      <w:r w:rsidRPr="006F28AE">
        <w:t xml:space="preserve">(2) </w:t>
      </w:r>
      <w:r w:rsidR="0053039F" w:rsidRPr="006F28AE">
        <w:t>Tez çalışmasının niteliğinin birden fazla tez danışmanını gerektirdiği durumlarda ikinci tez danışmanı atanabilir. Danışman atanmasında, bir danışmana düşecek lisansüstü öğrenci sayısı Enstitü Anabilim Dalının özelliği dikkate alınarak Enstitü Kurulu tarafından belirlenir.</w:t>
      </w:r>
    </w:p>
    <w:p w:rsidR="0053039F" w:rsidRPr="006F28AE" w:rsidRDefault="005E5C1E" w:rsidP="00D128E5">
      <w:pPr>
        <w:spacing w:before="120"/>
        <w:jc w:val="both"/>
      </w:pPr>
      <w:r w:rsidRPr="006F28AE">
        <w:t>(3)</w:t>
      </w:r>
      <w:r w:rsidR="0053039F" w:rsidRPr="006F28AE">
        <w:t xml:space="preserve"> Tez danışmanları çok özel durumlar hariç KISBÜ anabilim dalı programlarında ders veren öğretim üyeleri arasından seçilir. Tez danışmanı ve eş danışmanın değiştirilme koşulları ilgili </w:t>
      </w:r>
      <w:r w:rsidR="0022005A" w:rsidRPr="006F28AE">
        <w:t xml:space="preserve">Enstitü Kurulu </w:t>
      </w:r>
      <w:r w:rsidR="0053039F" w:rsidRPr="006F28AE">
        <w:t>tarafından belirlenir.</w:t>
      </w:r>
    </w:p>
    <w:p w:rsidR="00D11820" w:rsidRPr="006F28AE" w:rsidRDefault="005E5C1E" w:rsidP="00D128E5">
      <w:pPr>
        <w:spacing w:before="120"/>
        <w:jc w:val="both"/>
        <w:rPr>
          <w:b/>
        </w:rPr>
      </w:pPr>
      <w:r w:rsidRPr="006F28AE">
        <w:rPr>
          <w:b/>
        </w:rPr>
        <w:t>Madde 38 - Doktora Yeterli</w:t>
      </w:r>
      <w:r w:rsidR="00D11820" w:rsidRPr="006F28AE">
        <w:rPr>
          <w:b/>
        </w:rPr>
        <w:t>k Sınavı</w:t>
      </w:r>
    </w:p>
    <w:p w:rsidR="005E5C1E" w:rsidRPr="006F28AE" w:rsidRDefault="005E5C1E" w:rsidP="00D128E5">
      <w:pPr>
        <w:spacing w:before="120"/>
        <w:jc w:val="both"/>
      </w:pPr>
      <w:r w:rsidRPr="006F28AE">
        <w:t>(1) Doktora y</w:t>
      </w:r>
      <w:r w:rsidR="0053039F" w:rsidRPr="006F28AE">
        <w:t xml:space="preserve">eterlik sınavının amacı, öğrencinin temel ve doktora çalışmasıyla ilgili konularda derinliğe sahip olup olmadığının sınanmasıdır. </w:t>
      </w:r>
    </w:p>
    <w:p w:rsidR="00B35004" w:rsidRPr="006F28AE" w:rsidRDefault="005E5C1E" w:rsidP="005E5C1E">
      <w:pPr>
        <w:spacing w:before="120"/>
        <w:jc w:val="both"/>
      </w:pPr>
      <w:r w:rsidRPr="006F28AE">
        <w:t xml:space="preserve">(2) </w:t>
      </w:r>
      <w:r w:rsidR="00B35004" w:rsidRPr="006F28AE">
        <w:t xml:space="preserve">Doktora yeterlik sınavının tarih ve saati ilgili anabilim dalının bildirimi ile Enstitü Müdürlüğünce ilan edilir. Kredilerini ve seminerini/lerini tamamlayan, yabancı dil koşulunu,  yayın veya bilimsel toplantılarda bildiri sunma koşulunu ve Enstitü Kurulunun belirleyeceği diğer koşulları yerine getiren öğrenciler yeterlik sınavına girebilirler. </w:t>
      </w:r>
    </w:p>
    <w:p w:rsidR="00B35004" w:rsidRPr="006F28AE" w:rsidRDefault="00B35004" w:rsidP="005E5C1E">
      <w:pPr>
        <w:spacing w:before="120"/>
        <w:jc w:val="both"/>
      </w:pPr>
      <w:r w:rsidRPr="006F28AE">
        <w:t xml:space="preserve">(3) Doktora yeterlik sınavına girebilmek için </w:t>
      </w:r>
      <w:r w:rsidR="00E6347B" w:rsidRPr="006F28AE">
        <w:t xml:space="preserve">bu Yönetmeliğin 13’üncü maddesine göre istenilen yabancı dil sınavlarından </w:t>
      </w:r>
      <w:r w:rsidRPr="006F28AE">
        <w:t xml:space="preserve">başarısız olan doktora öğrencilerine </w:t>
      </w:r>
      <w:r w:rsidR="00163685" w:rsidRPr="006F28AE">
        <w:t xml:space="preserve">bir (1) yıl daha ek süre </w:t>
      </w:r>
      <w:r w:rsidR="00E6347B" w:rsidRPr="006F28AE">
        <w:t xml:space="preserve">verilir. </w:t>
      </w:r>
      <w:r w:rsidR="00163685" w:rsidRPr="006F28AE">
        <w:t xml:space="preserve">Bu süre öğrenim süresinden sayılmaz. </w:t>
      </w:r>
      <w:r w:rsidRPr="006F28AE">
        <w:t xml:space="preserve">Bu süre sonunda </w:t>
      </w:r>
      <w:r w:rsidR="00163685" w:rsidRPr="006F28AE">
        <w:t xml:space="preserve">yabancı dil başarı belgesini sunamayan </w:t>
      </w:r>
      <w:r w:rsidRPr="006F28AE">
        <w:t>öğrencilerin doktora programı ile iliş</w:t>
      </w:r>
      <w:r w:rsidR="00163685" w:rsidRPr="006F28AE">
        <w:t>iği</w:t>
      </w:r>
      <w:r w:rsidRPr="006F28AE">
        <w:t xml:space="preserve"> kesilir.</w:t>
      </w:r>
    </w:p>
    <w:p w:rsidR="005E5C1E" w:rsidRPr="006F28AE" w:rsidRDefault="00B35004" w:rsidP="005E5C1E">
      <w:pPr>
        <w:spacing w:before="120"/>
        <w:jc w:val="both"/>
      </w:pPr>
      <w:r w:rsidRPr="006F28AE">
        <w:t xml:space="preserve">(3) Doktora programına kabul edilen her öğrenci en geç sekizinci yarıyılın sonuna kadar yeterlik sınavına girmek zorundadır. </w:t>
      </w:r>
      <w:r w:rsidR="005E5C1E" w:rsidRPr="006F28AE">
        <w:t>Öğrenci bir yarıyılda bir kez olmak üzere yılda en fazla iki kez doktora yeterlik sınavına girer.</w:t>
      </w:r>
    </w:p>
    <w:p w:rsidR="005E5C1E" w:rsidRPr="006F28AE" w:rsidRDefault="005E5C1E" w:rsidP="005E5C1E">
      <w:pPr>
        <w:spacing w:before="120"/>
        <w:jc w:val="both"/>
      </w:pPr>
      <w:r w:rsidRPr="006F28AE">
        <w:t>(</w:t>
      </w:r>
      <w:r w:rsidR="00B35004" w:rsidRPr="006F28AE">
        <w:t>4</w:t>
      </w:r>
      <w:r w:rsidRPr="006F28AE">
        <w:t>) Doktora yeterlik sınavı, ilgili enstitü anabilim dalı başkanlığı tarafından önerilen, enstitü yönetim kurulu tarafından onaylanan ve üç yıl süreyle görev yapan beş kişilik Doktora Yeterlik Komitesi tarafından düzenlenir ve yürütülür. Doktora Yeterlik Komitesi; farklı alanlar için sınavları hazırlamak, uygulamak ve değerlendirmek amacıyla sınav jürileri oluşturur. Sınav jürisi en az ikisi başka bir yükseköğretim kurumundan olmak üzere, danışman dahil beş asıl ve iki yedek öğretim üyesinden oluşur. Yedek jüri üyelerinden biri, kurum dışından olmak zorundadır. Asıl jüri üyesi görev yapamayacağını yazılı ve gerekçeli olarak enstitüye beyan ettiğinde veya beyan etmeksizin sınava katılamadığında bu eksiklik yedeklerden tamamlanır.</w:t>
      </w:r>
    </w:p>
    <w:p w:rsidR="005E5C1E" w:rsidRPr="006F28AE" w:rsidRDefault="005E5C1E" w:rsidP="005E5C1E">
      <w:pPr>
        <w:spacing w:before="120"/>
        <w:jc w:val="both"/>
      </w:pPr>
      <w:r w:rsidRPr="006F28AE">
        <w:t>(</w:t>
      </w:r>
      <w:r w:rsidR="00B35004" w:rsidRPr="006F28AE">
        <w:t>5</w:t>
      </w:r>
      <w:r w:rsidRPr="006F28AE">
        <w:t xml:space="preserve">)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70 puan </w:t>
      </w:r>
      <w:r w:rsidR="00B35004" w:rsidRPr="006F28AE">
        <w:t xml:space="preserve">(bunu senatoda tartışalım) </w:t>
      </w:r>
      <w:r w:rsidRPr="006F28AE">
        <w:t xml:space="preserve">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w:t>
      </w:r>
      <w:r w:rsidR="00B35004" w:rsidRPr="006F28AE">
        <w:t>“</w:t>
      </w:r>
      <w:r w:rsidRPr="006F28AE">
        <w:t>başarılı</w:t>
      </w:r>
      <w:r w:rsidR="00B35004" w:rsidRPr="006F28AE">
        <w:t>”</w:t>
      </w:r>
      <w:r w:rsidRPr="006F28AE">
        <w:t xml:space="preserve"> veya </w:t>
      </w:r>
      <w:r w:rsidR="00B35004" w:rsidRPr="006F28AE">
        <w:t>“</w:t>
      </w:r>
      <w:r w:rsidRPr="006F28AE">
        <w:t>başarısız</w:t>
      </w:r>
      <w:r w:rsidR="00B35004" w:rsidRPr="006F28AE">
        <w:t>”</w:t>
      </w:r>
      <w:r w:rsidRPr="006F28AE">
        <w:t xml:space="preserve"> olduğuna salt çoğunlukla karar verir. Bu karar, enstitü anabilim dalı başkanlığı tarafından, yeterlik sınavını izleyen üç gün içinde ilgili enstitüye tutanakla bildirilir.</w:t>
      </w:r>
    </w:p>
    <w:p w:rsidR="005E5C1E" w:rsidRPr="006F28AE" w:rsidRDefault="005E5C1E" w:rsidP="005E5C1E">
      <w:pPr>
        <w:spacing w:before="120"/>
        <w:jc w:val="both"/>
      </w:pPr>
      <w:r w:rsidRPr="006F28AE">
        <w:t>(5) Doktora yeterlik sınavında başarısız olan öğrenci, başarısız olduğu yazılı ve/veya sözlü sınavdan bir sonraki yarıyılda tekrar sınava alınır. Bu sınavda da başarısız olan öğrencinin doktora programıyla ilişiği kesilir.</w:t>
      </w:r>
    </w:p>
    <w:p w:rsidR="005E5C1E" w:rsidRPr="006F28AE" w:rsidRDefault="005E5C1E" w:rsidP="005E5C1E">
      <w:pPr>
        <w:spacing w:before="120"/>
        <w:jc w:val="both"/>
      </w:pPr>
      <w:r w:rsidRPr="006F28AE">
        <w:t>(6) Doktora yeterlik sınavı jürisi; doktora yeterlik sınavını başaran bir öğrencinin, ders yükünü tamamlamış olsa bile toplam kredi miktarının üçte birini geçmemek koşuluyla fazladan ders/dersler almasını isteyebilir. Bu durumdaki öğrenci, ilgili enstitü yönetim kurulu kararıyla belirlenecek dersleri almak ve başarmak zorundadır.</w:t>
      </w:r>
    </w:p>
    <w:p w:rsidR="00D11820" w:rsidRPr="006F28AE" w:rsidRDefault="003D1649" w:rsidP="00D128E5">
      <w:pPr>
        <w:spacing w:before="120"/>
        <w:jc w:val="both"/>
        <w:rPr>
          <w:b/>
        </w:rPr>
      </w:pPr>
      <w:r w:rsidRPr="006F28AE">
        <w:rPr>
          <w:b/>
        </w:rPr>
        <w:t xml:space="preserve">Madde 39 </w:t>
      </w:r>
      <w:r w:rsidR="00F23096" w:rsidRPr="006F28AE">
        <w:rPr>
          <w:b/>
        </w:rPr>
        <w:t>-</w:t>
      </w:r>
      <w:r w:rsidR="00D11820" w:rsidRPr="006F28AE">
        <w:rPr>
          <w:b/>
        </w:rPr>
        <w:t xml:space="preserve"> Tez İzleme Komitesi</w:t>
      </w:r>
      <w:r w:rsidR="00F23096" w:rsidRPr="006F28AE">
        <w:rPr>
          <w:b/>
        </w:rPr>
        <w:t xml:space="preserve"> (TİK)</w:t>
      </w:r>
      <w:r w:rsidR="00D11820" w:rsidRPr="006F28AE">
        <w:rPr>
          <w:b/>
        </w:rPr>
        <w:t xml:space="preserve"> </w:t>
      </w:r>
    </w:p>
    <w:p w:rsidR="00F23096" w:rsidRPr="006F28AE" w:rsidRDefault="00F23096" w:rsidP="00F23096">
      <w:pPr>
        <w:spacing w:before="120"/>
        <w:jc w:val="both"/>
      </w:pPr>
      <w:r w:rsidRPr="006F28AE">
        <w:t>(1) Doktora yeterlik sınavında başarılı olan öğrenci için ilgili enstitü anabilim dalı başkanlığının önerisi ve enstitü yönetim kurulu onayıyla bir ay içinde Doktora Tez İzleme Komitesi oluşturulur.</w:t>
      </w:r>
    </w:p>
    <w:p w:rsidR="00F23096" w:rsidRPr="006F28AE" w:rsidRDefault="00F23096" w:rsidP="00F23096">
      <w:pPr>
        <w:spacing w:before="120"/>
        <w:jc w:val="both"/>
      </w:pPr>
      <w:r w:rsidRPr="006F28AE">
        <w:t>(2) Doktora Tez İzleme Komitesi üç öğretim üyesinden oluşur. Doktora Tez İzleme Komitesinde; tez danışmanı ile enstitü anabilim dalı içinden ve dışından birer üye yer alır. Anabilim dalı dışından yer alacak üye, tez konusuna en yakın olmak üzere farklı bir anabilim dalından seçilir. İkinci tez danışmanının olması durumunda, ikinci tez danışmanı oy hakkı olmaksızın Komite toplantılarına katılabilir.</w:t>
      </w:r>
    </w:p>
    <w:p w:rsidR="0053039F" w:rsidRPr="006F28AE" w:rsidRDefault="00F23096" w:rsidP="00F23096">
      <w:pPr>
        <w:spacing w:before="120"/>
        <w:jc w:val="both"/>
      </w:pPr>
      <w:r w:rsidRPr="006F28AE">
        <w:t>(3) Doktora Tez İzleme Komitesinin oluşturulmasından sonraki dönemlerde, ilgili enstitü anabilim dalı başkanlığının önerisi ve enstitü yönetim kurulu onayıyla üyelerde değişiklik yapılabilir.</w:t>
      </w:r>
    </w:p>
    <w:p w:rsidR="00D11820" w:rsidRPr="006F28AE" w:rsidRDefault="00F23096" w:rsidP="00D128E5">
      <w:pPr>
        <w:spacing w:before="120"/>
        <w:jc w:val="both"/>
        <w:rPr>
          <w:b/>
        </w:rPr>
      </w:pPr>
      <w:r w:rsidRPr="006F28AE">
        <w:rPr>
          <w:b/>
        </w:rPr>
        <w:t>Madde 40 -</w:t>
      </w:r>
      <w:r w:rsidR="00D11820" w:rsidRPr="006F28AE">
        <w:rPr>
          <w:b/>
        </w:rPr>
        <w:t xml:space="preserve"> Doktora Tez Çalışması</w:t>
      </w:r>
    </w:p>
    <w:p w:rsidR="00586E0D" w:rsidRPr="006F28AE" w:rsidRDefault="00586E0D" w:rsidP="00D128E5">
      <w:pPr>
        <w:spacing w:before="120"/>
        <w:jc w:val="both"/>
      </w:pPr>
      <w:r w:rsidRPr="006F28AE">
        <w:t xml:space="preserve">(1) </w:t>
      </w:r>
      <w:r w:rsidR="0053039F" w:rsidRPr="006F28AE">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586E0D" w:rsidRPr="006F28AE" w:rsidRDefault="00586E0D" w:rsidP="00D128E5">
      <w:pPr>
        <w:spacing w:before="120"/>
        <w:jc w:val="both"/>
      </w:pPr>
      <w:r w:rsidRPr="006F28AE">
        <w:t xml:space="preserve">(2) </w:t>
      </w:r>
      <w:r w:rsidR="0053039F" w:rsidRPr="006F28AE">
        <w:t xml:space="preserve">Tez önerisi savunması dinleyicilere açık olarak yapılır ve dinleyiciler de tez önerisine katkıda bulunabilir. Tez izleme komitesi, öğrencinin sunduğu tez önerisinin kabul veya reddine salt çoğunlukla karar verir. Bu karar, Enstitü Anabilim Dalı Başkanlığınca tez önerisi savunmasını izleyen üç gün içinde ilgili Enstitüye tutanakla bildirilir. </w:t>
      </w:r>
    </w:p>
    <w:p w:rsidR="00586E0D" w:rsidRPr="006F28AE" w:rsidRDefault="00586E0D" w:rsidP="00D128E5">
      <w:pPr>
        <w:spacing w:before="120"/>
        <w:jc w:val="both"/>
      </w:pPr>
      <w:r w:rsidRPr="006F28AE">
        <w:t xml:space="preserve">(3) </w:t>
      </w:r>
      <w:r w:rsidR="0053039F" w:rsidRPr="006F28AE">
        <w:t xml:space="preserve">Tez önerisi reddedilen öğrenci, yeni bir danışman ve tez konusu isteme hakkına sahiptir. Böyle bir durumda yeni bir tez izleme komitesi atanabilir. Programa aynı danışmanla devam etmek isteyen bir öğrenci üç ay içinde; danışman ve tez konusu değiştiren bir öğrenci ise altı ay içinde tekrar tez önerisi savunmasına alınır. </w:t>
      </w:r>
    </w:p>
    <w:p w:rsidR="00586E0D" w:rsidRPr="006F28AE" w:rsidRDefault="00586E0D" w:rsidP="00D128E5">
      <w:pPr>
        <w:spacing w:before="120"/>
        <w:jc w:val="both"/>
      </w:pPr>
      <w:r w:rsidRPr="006F28AE">
        <w:t xml:space="preserve">(4) </w:t>
      </w:r>
      <w:r w:rsidR="0053039F" w:rsidRPr="006F28AE">
        <w:t>Tez önerisi kabul edilen öğrenci için tez izleme komitesi, Ocak ile Haziran ve Temmuz ile Aralık ayları arasında birer kere olmak üzere en az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w:t>
      </w:r>
      <w:r w:rsidR="00DA7F5D" w:rsidRPr="006F28AE">
        <w:t xml:space="preserve"> (YT)</w:t>
      </w:r>
      <w:r w:rsidR="0053039F" w:rsidRPr="006F28AE">
        <w:t xml:space="preserve"> veya "başarısız" </w:t>
      </w:r>
      <w:r w:rsidR="00DA7F5D" w:rsidRPr="006F28AE">
        <w:t xml:space="preserve">(YZ) </w:t>
      </w:r>
      <w:r w:rsidR="0053039F" w:rsidRPr="006F28AE">
        <w:t xml:space="preserve">olarak belirlenir. </w:t>
      </w:r>
      <w:r w:rsidR="00DA7F5D" w:rsidRPr="006F28AE">
        <w:t>Tezin o dönemki izleme sürecinden başarısız bulunan öğrenci için Komite tarafından gerekçeli rapor hazırlanır. Komite tarafından üst üste iki kez veya aralıklı olarak üç kez başarısız bulunan öğrencinin programdan ilişiği kesilir.</w:t>
      </w:r>
    </w:p>
    <w:p w:rsidR="0053039F" w:rsidRPr="006F28AE" w:rsidRDefault="00586E0D" w:rsidP="00D128E5">
      <w:pPr>
        <w:spacing w:before="120"/>
        <w:jc w:val="both"/>
      </w:pPr>
      <w:r w:rsidRPr="006F28AE">
        <w:t xml:space="preserve">(5) </w:t>
      </w:r>
      <w:r w:rsidR="0053039F" w:rsidRPr="006F28AE">
        <w:t>Doktora programındaki bir öğrenci, tez projesinden üretilmiş özgün bir makaleyi SCI (Science</w:t>
      </w:r>
      <w:r w:rsidRPr="006F28AE">
        <w:t xml:space="preserve"> </w:t>
      </w:r>
      <w:r w:rsidR="0053039F" w:rsidRPr="006F28AE">
        <w:t>Citation Index) , SCI-Expanded (Science</w:t>
      </w:r>
      <w:r w:rsidRPr="006F28AE">
        <w:t xml:space="preserve"> </w:t>
      </w:r>
      <w:r w:rsidR="0053039F" w:rsidRPr="006F28AE">
        <w:t>Citation Index Expanded),  SSCI (Social</w:t>
      </w:r>
      <w:r w:rsidRPr="006F28AE">
        <w:t xml:space="preserve"> </w:t>
      </w:r>
      <w:r w:rsidR="0053039F" w:rsidRPr="006F28AE">
        <w:t>Sciences</w:t>
      </w:r>
      <w:r w:rsidRPr="006F28AE">
        <w:t xml:space="preserve"> </w:t>
      </w:r>
      <w:r w:rsidR="0053039F" w:rsidRPr="006F28AE">
        <w:t>Citation Index) veya AHCI (Arts</w:t>
      </w:r>
      <w:r w:rsidRPr="006F28AE">
        <w:t xml:space="preserve"> </w:t>
      </w:r>
      <w:r w:rsidR="0053039F" w:rsidRPr="006F28AE">
        <w:t>and</w:t>
      </w:r>
      <w:r w:rsidRPr="006F28AE">
        <w:t xml:space="preserve"> </w:t>
      </w:r>
      <w:r w:rsidR="0053039F" w:rsidRPr="006F28AE">
        <w:t>Humanities</w:t>
      </w:r>
      <w:r w:rsidRPr="006F28AE">
        <w:t xml:space="preserve"> </w:t>
      </w:r>
      <w:r w:rsidR="0053039F" w:rsidRPr="006F28AE">
        <w:t xml:space="preserve">Citation Index) tarafından taranan bir dergide yayınlamış olması veya yayınlanacağının kabul edildiğini gösteren DOİ (Digital Object Identifier) numarasının alındığının belgelenmesi sonucunda, tez savunmasına girmeye hak kazanır. Ancak Türk dilinde eğitim veren Hukuk programı için bu koşul yerine, Doktora tezi ile ilgili alanda, Üniversitelerarası Akademik Koordinasyon Kurulunun Türkiye’deki benzer uygulamaları göz önünde bulundurarak belirlediği dergilerde en az iki adet makale yayınlamış olmak koşulu aranır. </w:t>
      </w:r>
    </w:p>
    <w:p w:rsidR="00D11820" w:rsidRPr="006F28AE" w:rsidRDefault="00DA7F5D" w:rsidP="00D128E5">
      <w:pPr>
        <w:spacing w:before="120"/>
        <w:jc w:val="both"/>
        <w:rPr>
          <w:b/>
        </w:rPr>
      </w:pPr>
      <w:r w:rsidRPr="006F28AE">
        <w:rPr>
          <w:b/>
        </w:rPr>
        <w:t xml:space="preserve">Madde 41 - </w:t>
      </w:r>
      <w:r w:rsidR="00D11820" w:rsidRPr="006F28AE">
        <w:rPr>
          <w:b/>
        </w:rPr>
        <w:t>Doktora Tezinin Sonuçlandırılması</w:t>
      </w:r>
    </w:p>
    <w:p w:rsidR="00DA7F5D" w:rsidRPr="006F28AE" w:rsidRDefault="00DA7F5D" w:rsidP="00D128E5">
      <w:pPr>
        <w:spacing w:before="120"/>
        <w:jc w:val="both"/>
      </w:pPr>
      <w:r w:rsidRPr="006F28AE">
        <w:t xml:space="preserve">(1) </w:t>
      </w:r>
      <w:r w:rsidR="0053039F" w:rsidRPr="006F28AE">
        <w:t xml:space="preserve">Doktora programındaki bir öğrenci, tezini Enstitü tarafından belirlenen tez yazım kurallarına uygun biçimde yazmak ve tezini jüri önünde sözlü olarak savunmak zorundadır. </w:t>
      </w:r>
    </w:p>
    <w:p w:rsidR="00DA7F5D" w:rsidRPr="006F28AE" w:rsidRDefault="00DA7F5D" w:rsidP="00D128E5">
      <w:pPr>
        <w:spacing w:before="120"/>
        <w:jc w:val="both"/>
      </w:pPr>
      <w:r w:rsidRPr="006F28AE">
        <w:t xml:space="preserve">(2) </w:t>
      </w:r>
      <w:r w:rsidR="0053039F" w:rsidRPr="006F28AE">
        <w:t xml:space="preserve">Anabilim dallarında yürütülen tüm lisansüstü tezlerin, savunma sınavı öncesinde jüri üyelerine dağıtılan nüshalarında ve mezuniyet aşamasında enstitüye teslim edilen basılı ve elektronik nüshalarında Tez Çalışması benzerlik ve İntihal Raporu’nun bulunması gerekmektedir. Söz konusu rapor, intihal tespit programı TURNITIN’den elde edilen verilere göre hazırlanmalıdır. Bu amaçla tezin yalnızca kapak Sayfası, giriş, ana bölümler ve sonuç bölümleri tek bir dosya hâlinde TURNITIN programına yüklenmeli, taramadan önce filtreleme seçenekleri “kaynakça hariç, alıntılar hariç/dâhil, 5 kelimeden daha az örtüşme içeren metin kısımları hariç (Limit match size to 5 words) şeklinde ayarlanmalıdır. Tezin, intihal kapsamı dışında değerlendirilmesi için TURNITIN’den alınan raporda “benzerlik oranının, “alıntılar hariç” en fazla %15, “alıntılar dâhil” % 30'u geçmemesi gerekir. Bu oranları sağlamayan tezler, tez savunmasına alınmaz. </w:t>
      </w:r>
    </w:p>
    <w:p w:rsidR="00DA7F5D" w:rsidRPr="006F28AE" w:rsidRDefault="00DA7F5D" w:rsidP="00D128E5">
      <w:pPr>
        <w:spacing w:before="120"/>
        <w:jc w:val="both"/>
      </w:pPr>
      <w:r w:rsidRPr="006F28AE">
        <w:t xml:space="preserve">(3) </w:t>
      </w:r>
      <w:r w:rsidR="0053039F" w:rsidRPr="006F28AE">
        <w:t xml:space="preserve">Tez savunmasına girebilmek için, öğrenci yaptığı araştırmaya ilişkin, araştırmaya başlamadan önce ilgili etik kuruldan aldığı raporu, jüri üyelerine sunmak ve bu raporu tezinin ekler bölümüne koymak zorundadır. Ancak, danışmanın da onayladığı, etik kurulu kararı gerektirmeyen araştırmalar için bu koşul aranmaz. </w:t>
      </w:r>
    </w:p>
    <w:p w:rsidR="00DA7F5D" w:rsidRPr="006F28AE" w:rsidRDefault="00DA7F5D" w:rsidP="00D128E5">
      <w:pPr>
        <w:spacing w:before="120"/>
        <w:jc w:val="both"/>
      </w:pPr>
      <w:r w:rsidRPr="006F28AE">
        <w:t xml:space="preserve">(4) </w:t>
      </w:r>
      <w:r w:rsidR="0053039F" w:rsidRPr="006F28AE">
        <w:t xml:space="preserve">Doktora tez jürisi, ilgili </w:t>
      </w:r>
      <w:r w:rsidRPr="006F28AE">
        <w:t xml:space="preserve">anabilim dalı başkanlığının </w:t>
      </w:r>
      <w:r w:rsidR="0053039F" w:rsidRPr="006F28AE">
        <w:t xml:space="preserve">önerisi ve Enstitü Yönetim Kurulu onayı ile atanır. Jüri, üçü öğrencinin tez izleme komitesinde yer alan öğretim üyeleri ve diğer ikisi de farklı yükseköğretim kurumlarında görevli öğretim üyesi olmak üzere beş kişiden oluşur. Jüri üyeleri, söz konusu tezin kendilerine teslim edildiği tarihten itibaren en geç bir ay içinde kişisel raporlarını hazırlayarak Enstitü Müdürlüğüne gönderir ve Enstitü Müdürlüğünün çağrısı ile jüri toplanarak öğrenciyi tez sınavına alır. </w:t>
      </w:r>
    </w:p>
    <w:p w:rsidR="00896EB1" w:rsidRPr="006F28AE" w:rsidRDefault="00DA7F5D" w:rsidP="00D128E5">
      <w:pPr>
        <w:spacing w:before="120"/>
        <w:jc w:val="both"/>
      </w:pPr>
      <w:r w:rsidRPr="006F28AE">
        <w:t xml:space="preserve">(5) </w:t>
      </w:r>
      <w:r w:rsidR="0053039F" w:rsidRPr="006F28AE">
        <w:t xml:space="preserve">Tez sınavı, tez çalışmasının sunulması ve bunu izleyen soru-cevap bölümünden oluşur. Süresi 60-120 dakikadır. Tez sınavı dinleyicilere açık olarak yapılır. Tez sınavında jüri üyeleri biniş giymek zorundadır. Tez sınavının tamamlanmasından sonra jüri, dinleyicilere kapalı olarak, tez hakkında salt çoğunlukla "kabul", "ret" veya "düzeltme" kararını gerekçeli olarak verir. Bu karar, Enstitü Anabilim Dalı Başkanlığınca tez sınavını izleyen üç gün içinde ilgili Enstitüye tutanakla bildirilir. </w:t>
      </w:r>
    </w:p>
    <w:p w:rsidR="00896EB1" w:rsidRPr="006F28AE" w:rsidRDefault="00896EB1" w:rsidP="00896EB1">
      <w:pPr>
        <w:spacing w:before="120"/>
        <w:jc w:val="both"/>
      </w:pPr>
      <w:r w:rsidRPr="006F28AE">
        <w:t>(6) Tez çalışması kabul edilen öğrenci başarılı olarak değerlendirilir.</w:t>
      </w:r>
    </w:p>
    <w:p w:rsidR="00896EB1" w:rsidRPr="006F28AE" w:rsidRDefault="00896EB1" w:rsidP="00896EB1">
      <w:pPr>
        <w:spacing w:before="120"/>
        <w:jc w:val="both"/>
      </w:pPr>
      <w:r w:rsidRPr="006F28AE">
        <w:t>(7) Tez çalışması başarısız bulunarak reddedilen öğrencinin programdan ilişiği kesilir.</w:t>
      </w:r>
    </w:p>
    <w:p w:rsidR="00896EB1" w:rsidRPr="006F28AE" w:rsidRDefault="00896EB1" w:rsidP="00D128E5">
      <w:pPr>
        <w:spacing w:before="120"/>
        <w:jc w:val="both"/>
      </w:pPr>
      <w:r w:rsidRPr="006F28AE">
        <w:t xml:space="preserve">(8) Tezi hakkında düzeltme kararı verilen öğrenci, gerekli düzeltmeleri yaparak tez çalışmasını tekrar danışmanına sunar. Danışmanın, tezin savunulabilir olduğuna ilişkin görüşüyle birlikte tez çalışması, anabilim dalı başkanlığı aracılığıyla enstitüye teslim edilir. Öğrenci, en geç altı ay içinde düzelttiği tez çalışmasını aynı jüri önünde yeniden savunur. Bu savunma sonunda da başarısız bulunarak tez çalışması kabul edilmeyen öğrencinin programdan ilişiği kesilir. </w:t>
      </w:r>
    </w:p>
    <w:p w:rsidR="0053039F" w:rsidRPr="006F28AE" w:rsidRDefault="00896EB1" w:rsidP="00D128E5">
      <w:pPr>
        <w:spacing w:before="120"/>
        <w:jc w:val="both"/>
      </w:pPr>
      <w:r w:rsidRPr="006F28AE">
        <w:t xml:space="preserve">(9) </w:t>
      </w:r>
      <w:r w:rsidR="0053039F" w:rsidRPr="006F28AE">
        <w:t>Tez s</w:t>
      </w:r>
      <w:r w:rsidRPr="006F28AE">
        <w:t>avunmasında</w:t>
      </w:r>
      <w:r w:rsidR="0053039F" w:rsidRPr="006F28AE">
        <w:t xml:space="preserve"> başarılı olan öğrenciye, jüri başkanı tarafından ilgili anabilim dalının binişi giydirilir. </w:t>
      </w:r>
    </w:p>
    <w:p w:rsidR="00D11820" w:rsidRPr="006F28AE" w:rsidRDefault="0053039F" w:rsidP="00D128E5">
      <w:pPr>
        <w:spacing w:before="120"/>
        <w:jc w:val="both"/>
        <w:rPr>
          <w:b/>
        </w:rPr>
      </w:pPr>
      <w:r w:rsidRPr="006F28AE">
        <w:rPr>
          <w:b/>
        </w:rPr>
        <w:t>M</w:t>
      </w:r>
      <w:r w:rsidR="00896EB1" w:rsidRPr="006F28AE">
        <w:rPr>
          <w:b/>
        </w:rPr>
        <w:t>adde</w:t>
      </w:r>
      <w:r w:rsidRPr="006F28AE">
        <w:rPr>
          <w:b/>
        </w:rPr>
        <w:t xml:space="preserve"> </w:t>
      </w:r>
      <w:r w:rsidR="00896EB1" w:rsidRPr="006F28AE">
        <w:rPr>
          <w:b/>
        </w:rPr>
        <w:t>42 -</w:t>
      </w:r>
      <w:r w:rsidR="00D11820" w:rsidRPr="006F28AE">
        <w:rPr>
          <w:b/>
        </w:rPr>
        <w:t xml:space="preserve"> Doktora Diploması</w:t>
      </w:r>
    </w:p>
    <w:p w:rsidR="00896EB1" w:rsidRPr="006F28AE" w:rsidRDefault="00896EB1" w:rsidP="00D128E5">
      <w:pPr>
        <w:spacing w:before="120"/>
        <w:jc w:val="both"/>
      </w:pPr>
      <w:r w:rsidRPr="006F28AE">
        <w:t xml:space="preserve">(1) </w:t>
      </w:r>
      <w:r w:rsidR="0053039F" w:rsidRPr="006F28AE">
        <w:t>Tez s</w:t>
      </w:r>
      <w:r w:rsidRPr="006F28AE">
        <w:t>avunmasın</w:t>
      </w:r>
      <w:r w:rsidR="0053039F" w:rsidRPr="006F28AE">
        <w:t xml:space="preserve">da başarılı olmak ve diğer koşulları da sağlamak kaydıyla, doktora tezinin ciltlenmiş en az </w:t>
      </w:r>
      <w:r w:rsidRPr="006F28AE">
        <w:t>altı</w:t>
      </w:r>
      <w:r w:rsidR="0053039F" w:rsidRPr="006F28AE">
        <w:t xml:space="preserve"> kopyasını ve CD ve benzeri dijital ortamdaki bir nüshasını tez sınavına giriş tarihinden itibaren bir ay içinde ilgili Enstitü ile KISBÜ Kütüphaneye teslim eden ve Enstitü Yönetim Kurulunun istediği diğer hususları yerine getiren ve tezi şekil yönünden uygun bulunan öğrenci, Doktora Diploması almaya hak kazanır. </w:t>
      </w:r>
    </w:p>
    <w:p w:rsidR="00896EB1" w:rsidRPr="006F28AE" w:rsidRDefault="00896EB1" w:rsidP="00896EB1">
      <w:pPr>
        <w:spacing w:before="120"/>
        <w:jc w:val="both"/>
      </w:pPr>
      <w:r w:rsidRPr="006F28AE">
        <w:t>(2) Enstitü yönetim kurulu tez teslim süresini en fazla bir ay daha uzatabilir. Bu koşulları yerine getirmeyen öğrenci, koşulları yerine getirinceye kadar diplomasını alamaz, öğrencilik haklarından yararlanamaz ve azami süresinin dolması durumunda programdan ilişiği kesilir.</w:t>
      </w:r>
    </w:p>
    <w:p w:rsidR="00896EB1" w:rsidRPr="006F28AE" w:rsidRDefault="00896EB1" w:rsidP="00896EB1">
      <w:pPr>
        <w:spacing w:before="120"/>
        <w:jc w:val="both"/>
      </w:pPr>
      <w:r w:rsidRPr="006F28AE">
        <w:t>(3) Doktora diploması üzerinde, öğrencinin kayıtlı olduğu enstitü anabilim dalındaki programın Üniversite tarafından onaylanmış adı bulunur.</w:t>
      </w:r>
    </w:p>
    <w:p w:rsidR="0053039F" w:rsidRPr="006F28AE" w:rsidRDefault="00896EB1" w:rsidP="00896EB1">
      <w:pPr>
        <w:spacing w:before="120"/>
        <w:jc w:val="both"/>
      </w:pPr>
      <w:r w:rsidRPr="006F28AE">
        <w:t>(4) Doktora programında mezuniyet tarihi, tezin jüri tarafından kabul edildiği tez savunma sınavı tarihidir.</w:t>
      </w:r>
    </w:p>
    <w:p w:rsidR="00D11820" w:rsidRPr="006F28AE" w:rsidRDefault="0053039F" w:rsidP="00896EB1">
      <w:pPr>
        <w:spacing w:before="120"/>
        <w:jc w:val="center"/>
        <w:rPr>
          <w:b/>
        </w:rPr>
      </w:pPr>
      <w:r w:rsidRPr="006F28AE">
        <w:rPr>
          <w:b/>
        </w:rPr>
        <w:t>BEŞİNCİ BÖLÜM</w:t>
      </w:r>
    </w:p>
    <w:p w:rsidR="0053039F" w:rsidRPr="006F28AE" w:rsidRDefault="00896EB1" w:rsidP="00896EB1">
      <w:pPr>
        <w:spacing w:before="120"/>
        <w:jc w:val="center"/>
        <w:rPr>
          <w:b/>
        </w:rPr>
      </w:pPr>
      <w:r w:rsidRPr="006F28AE">
        <w:rPr>
          <w:b/>
        </w:rPr>
        <w:t>Sanatta Yeterlik Programıyla İlgili Esaslar</w:t>
      </w:r>
    </w:p>
    <w:p w:rsidR="00D11820" w:rsidRPr="006F28AE" w:rsidRDefault="00896EB1" w:rsidP="00D128E5">
      <w:pPr>
        <w:spacing w:before="120"/>
        <w:jc w:val="both"/>
        <w:rPr>
          <w:b/>
        </w:rPr>
      </w:pPr>
      <w:r w:rsidRPr="006F28AE">
        <w:rPr>
          <w:b/>
        </w:rPr>
        <w:t xml:space="preserve">Madde 43 </w:t>
      </w:r>
      <w:r w:rsidR="0053039F" w:rsidRPr="006F28AE">
        <w:rPr>
          <w:b/>
        </w:rPr>
        <w:t>- Sanatta Yeterlik</w:t>
      </w:r>
      <w:r w:rsidRPr="006F28AE">
        <w:rPr>
          <w:b/>
        </w:rPr>
        <w:t xml:space="preserve"> Programı</w:t>
      </w:r>
    </w:p>
    <w:p w:rsidR="0053039F" w:rsidRPr="006F28AE" w:rsidRDefault="00896EB1" w:rsidP="00D128E5">
      <w:pPr>
        <w:spacing w:before="120"/>
        <w:jc w:val="both"/>
      </w:pPr>
      <w:r w:rsidRPr="006F28AE">
        <w:t xml:space="preserve">(1) </w:t>
      </w:r>
      <w:r w:rsidR="0053039F" w:rsidRPr="006F28AE">
        <w:t xml:space="preserve">Lisansa dayalı en az altı, yüksek lisansa dayalı en az dört </w:t>
      </w:r>
      <w:r w:rsidRPr="006F28AE">
        <w:t>yarıyıllık</w:t>
      </w:r>
      <w:r w:rsidR="0053039F" w:rsidRPr="006F28AE">
        <w:t xml:space="preserve"> programı kapsayan ve orijinal bir sanat eserinin ortaya konulmasını, müzik ve sahne sanatlarında ise üstün bir uygulama ve yaratıcılığı amaçlayan doktora düzeyinde </w:t>
      </w:r>
      <w:r w:rsidRPr="006F28AE">
        <w:t>lisansüstü</w:t>
      </w:r>
      <w:r w:rsidR="0053039F" w:rsidRPr="006F28AE">
        <w:t xml:space="preserve"> bir yükseköğretim eşdeğeridir. </w:t>
      </w:r>
    </w:p>
    <w:p w:rsidR="00896EB1" w:rsidRPr="006F28AE" w:rsidRDefault="00896EB1" w:rsidP="00896EB1">
      <w:pPr>
        <w:spacing w:before="120"/>
        <w:jc w:val="both"/>
      </w:pPr>
      <w:r w:rsidRPr="006F28AE">
        <w:t xml:space="preserve">(2) Sanatta yeterlik programı özgün bir sanat eserinin ortaya konulmasını, müzik ve sahne sanatlarında ise üstün bir uygulama ve yaratıcılığı yansıtacak çalışmayı amaçlayan bir yükseköğretim programıdır. </w:t>
      </w:r>
    </w:p>
    <w:p w:rsidR="00896EB1" w:rsidRPr="006F28AE" w:rsidRDefault="00896EB1" w:rsidP="00896EB1">
      <w:pPr>
        <w:spacing w:before="120"/>
        <w:jc w:val="both"/>
      </w:pPr>
      <w:r w:rsidRPr="006F28AE">
        <w:t xml:space="preserve">(3) Sanatta yeterlik programı, yüksek lisans derecesi olan öğrenciler için toplam yirmi bir (21) krediden az olmamak koşuluyla en az yedi ders, bir seminer dersi ve uygulamalar ile tez veya sergi, proje, resital, konser, temsil gibi çalışmalardan oluşur. Lisans derecesi ile kabul edilmiş öğrenciler için ise en az kırk iki kredilik on dört adet ders, bir seminer dersi ve uygulamalar ile tez veya sergi, proje, resital, konser, temsil gibi çalışmalardan oluşur. </w:t>
      </w:r>
    </w:p>
    <w:p w:rsidR="00896EB1" w:rsidRPr="006F28AE" w:rsidRDefault="00896EB1" w:rsidP="00896EB1">
      <w:pPr>
        <w:spacing w:before="120"/>
        <w:jc w:val="both"/>
      </w:pPr>
      <w:r w:rsidRPr="006F28AE">
        <w:t xml:space="preserve">(4) Lisansüstü dersler, ilgili anasanat dalı başkanlığının önerisi ve Enstitü Yönetim Kurulu onayı ile diğer yükseköğretim kurumlarında verilmekte olan derslerden de seçilebilir. </w:t>
      </w:r>
    </w:p>
    <w:p w:rsidR="00D11820" w:rsidRPr="006F28AE" w:rsidRDefault="00896EB1" w:rsidP="00D128E5">
      <w:pPr>
        <w:spacing w:before="120"/>
        <w:jc w:val="both"/>
        <w:rPr>
          <w:b/>
        </w:rPr>
      </w:pPr>
      <w:r w:rsidRPr="006F28AE">
        <w:rPr>
          <w:b/>
        </w:rPr>
        <w:t xml:space="preserve">Madde 44 - </w:t>
      </w:r>
      <w:r w:rsidR="00D11820" w:rsidRPr="006F28AE">
        <w:rPr>
          <w:b/>
        </w:rPr>
        <w:t xml:space="preserve">Sanatta </w:t>
      </w:r>
      <w:r w:rsidRPr="006F28AE">
        <w:rPr>
          <w:b/>
        </w:rPr>
        <w:t>Yeterlik Programına Öğrenci Kabulü</w:t>
      </w:r>
    </w:p>
    <w:p w:rsidR="0053039F" w:rsidRPr="006F28AE" w:rsidRDefault="0053039F" w:rsidP="00D128E5">
      <w:pPr>
        <w:spacing w:before="120"/>
        <w:jc w:val="both"/>
      </w:pPr>
      <w:r w:rsidRPr="006F28AE">
        <w:t xml:space="preserve">Sanatta yeterlik programına başvurabilmek için adayların bir yüksek lisans veya lisans diplomasına sahip olmaları gerekir. Sanatta yeterlik programlarına bu Yönetmeliğin </w:t>
      </w:r>
      <w:r w:rsidR="00896EB1" w:rsidRPr="006F28AE">
        <w:t>5, 6 ve 7’inci m</w:t>
      </w:r>
      <w:r w:rsidRPr="006F28AE">
        <w:t>adde</w:t>
      </w:r>
      <w:r w:rsidR="00896EB1" w:rsidRPr="006F28AE">
        <w:t>leri</w:t>
      </w:r>
      <w:r w:rsidRPr="006F28AE">
        <w:t>nde belirtile</w:t>
      </w:r>
      <w:r w:rsidR="00896EB1" w:rsidRPr="006F28AE">
        <w:t>n esaslar çerçevesinde mülakat/yetenek sınavı/</w:t>
      </w:r>
      <w:r w:rsidRPr="006F28AE">
        <w:t xml:space="preserve">portfolyo değerlendirmesi sonunda öğrenci kabul edilir. </w:t>
      </w:r>
    </w:p>
    <w:p w:rsidR="0053039F" w:rsidRPr="006F28AE" w:rsidRDefault="00896EB1" w:rsidP="00D128E5">
      <w:pPr>
        <w:spacing w:before="120"/>
        <w:jc w:val="both"/>
        <w:rPr>
          <w:b/>
        </w:rPr>
      </w:pPr>
      <w:r w:rsidRPr="006F28AE">
        <w:rPr>
          <w:b/>
        </w:rPr>
        <w:t xml:space="preserve">Madde 45 </w:t>
      </w:r>
      <w:r w:rsidR="0053039F" w:rsidRPr="006F28AE">
        <w:rPr>
          <w:b/>
        </w:rPr>
        <w:t xml:space="preserve">- </w:t>
      </w:r>
      <w:r w:rsidR="00D11820" w:rsidRPr="006F28AE">
        <w:rPr>
          <w:b/>
        </w:rPr>
        <w:t xml:space="preserve"> </w:t>
      </w:r>
      <w:r w:rsidRPr="006F28AE">
        <w:rPr>
          <w:b/>
        </w:rPr>
        <w:t xml:space="preserve">Öğrenim </w:t>
      </w:r>
      <w:r w:rsidR="00D11820" w:rsidRPr="006F28AE">
        <w:rPr>
          <w:b/>
        </w:rPr>
        <w:t>Süre</w:t>
      </w:r>
      <w:r w:rsidRPr="006F28AE">
        <w:rPr>
          <w:b/>
        </w:rPr>
        <w:t>si</w:t>
      </w:r>
      <w:r w:rsidR="00D11820" w:rsidRPr="006F28AE">
        <w:rPr>
          <w:b/>
        </w:rPr>
        <w:t xml:space="preserve"> </w:t>
      </w:r>
    </w:p>
    <w:p w:rsidR="0053039F" w:rsidRPr="006F28AE" w:rsidRDefault="00896EB1" w:rsidP="00D128E5">
      <w:pPr>
        <w:spacing w:before="120"/>
        <w:jc w:val="both"/>
      </w:pPr>
      <w:r w:rsidRPr="006F28AE">
        <w:t>(1</w:t>
      </w:r>
      <w:r w:rsidR="00D11820" w:rsidRPr="006F28AE">
        <w:t>)</w:t>
      </w:r>
      <w:r w:rsidRPr="006F28AE">
        <w:t xml:space="preserve"> </w:t>
      </w:r>
      <w:r w:rsidR="0053039F" w:rsidRPr="006F28AE">
        <w:t xml:space="preserve">Sanatta yeterlik programını tamamlama süresi yüksek lisans derecesi ile kabul edilenler için sekiz yarıyıl, lisans derecesi ile kabul edilenler için on yarıyıldır. Ancak, yüksek lisans derecesi ile kabul edilen öğrencilerden en erken altıncı yarıyıl sonunda, lisans derecesi ile kabul edilenler için ise en erken sekizinci yarıyıl sonunda, sanatta yeterlik derecesini almak için gerekli koşulları yerine getirenler sanatta yeterlik sınavına alınırlar (Bu sınavda tez veya sergi, proje, resital, konser, temsil gibi çalışmalar savunulur). İlgili yönetmelikler uyarınca başarısız olan öğrencinin Enstitü ile ilişiği Enstitü Yönetim Kurulu kararıyla bu süreden önce kesilebilir. </w:t>
      </w:r>
    </w:p>
    <w:p w:rsidR="0053039F" w:rsidRPr="006F28AE" w:rsidRDefault="00896EB1" w:rsidP="00D128E5">
      <w:pPr>
        <w:spacing w:before="120"/>
        <w:jc w:val="both"/>
      </w:pPr>
      <w:r w:rsidRPr="006F28AE">
        <w:t>(2</w:t>
      </w:r>
      <w:r w:rsidR="00D11820" w:rsidRPr="006F28AE">
        <w:t>)</w:t>
      </w:r>
      <w:r w:rsidRPr="006F28AE">
        <w:t xml:space="preserve"> </w:t>
      </w:r>
      <w:r w:rsidR="0053039F" w:rsidRPr="006F28AE">
        <w:t>Sanatta yeterlik programı için gerekli kredili dersleri ve seminer dersini başarıyla tamamlamanın azami süresi; yüksek lisans derecesi ile kabul edilen öğrenciler için dört yarıyıl, lisans derecesi ile kabul edilenler için ise altı yarıyıldır. Bu süre içinde kredili derslerini başarıyla tamamlayamayanlar ve en az 3.0</w:t>
      </w:r>
      <w:r w:rsidRPr="006F28AE">
        <w:t>0</w:t>
      </w:r>
      <w:r w:rsidR="0053039F" w:rsidRPr="006F28AE">
        <w:t xml:space="preserve"> ağırlıklı genel not ortalamasını tutturamayan öğrencinin Enstitü ile ilişkisi kesilir. Akademik genel not ortalamasına ilişkin bu sınırlar </w:t>
      </w:r>
      <w:r w:rsidRPr="006F28AE">
        <w:t>Senato</w:t>
      </w:r>
      <w:r w:rsidR="0053039F" w:rsidRPr="006F28AE">
        <w:t xml:space="preserve"> tarafından değiştirilebilir. </w:t>
      </w:r>
    </w:p>
    <w:p w:rsidR="0053039F" w:rsidRPr="006F28AE" w:rsidRDefault="00896EB1" w:rsidP="00D128E5">
      <w:pPr>
        <w:spacing w:before="120"/>
        <w:jc w:val="both"/>
      </w:pPr>
      <w:r w:rsidRPr="006F28AE">
        <w:t>(3</w:t>
      </w:r>
      <w:r w:rsidR="00D11820" w:rsidRPr="006F28AE">
        <w:t>)</w:t>
      </w:r>
      <w:r w:rsidRPr="006F28AE">
        <w:t xml:space="preserve"> </w:t>
      </w:r>
      <w:r w:rsidR="0053039F" w:rsidRPr="006F28AE">
        <w:t>Kredili derslerini ve uygulamalarını başarıyla bitiren, tez önerisi veya sergi veya proje çalışması kabul edilen, ancak tez veya sergi veya</w:t>
      </w:r>
      <w:r w:rsidRPr="006F28AE">
        <w:t xml:space="preserve"> proje çalışmasını bu maddenin (1)’inci fıkrasında</w:t>
      </w:r>
      <w:r w:rsidR="0053039F" w:rsidRPr="006F28AE">
        <w:t xml:space="preserve"> belirtildiği üzere sekiz yarıyıl sonuna (lisans derecesi ile kabul edilmiş olan öğrenci için on yarıyıl sonuna) kadar tamamlayamadığı için sınavına giremeyen bir öğrenciye, ilgili enstitü anasanat dalı başkanlığının önerisi ve Enstitü Yönetim Kurulu onayı ile tezini, sergi veya proje çalışmasını jüri önünde savunması için en fazla dört yarıyıl ek süre verilebilir. </w:t>
      </w:r>
    </w:p>
    <w:p w:rsidR="00D11820" w:rsidRPr="006F28AE" w:rsidRDefault="0053039F" w:rsidP="00D128E5">
      <w:pPr>
        <w:spacing w:before="120"/>
        <w:jc w:val="both"/>
        <w:rPr>
          <w:b/>
        </w:rPr>
      </w:pPr>
      <w:r w:rsidRPr="006F28AE">
        <w:rPr>
          <w:b/>
        </w:rPr>
        <w:t>M</w:t>
      </w:r>
      <w:r w:rsidR="00896EB1" w:rsidRPr="006F28AE">
        <w:rPr>
          <w:b/>
        </w:rPr>
        <w:t>adde</w:t>
      </w:r>
      <w:r w:rsidRPr="006F28AE">
        <w:rPr>
          <w:b/>
        </w:rPr>
        <w:t xml:space="preserve"> </w:t>
      </w:r>
      <w:r w:rsidR="00896EB1" w:rsidRPr="006F28AE">
        <w:rPr>
          <w:b/>
        </w:rPr>
        <w:t xml:space="preserve">46 - </w:t>
      </w:r>
      <w:r w:rsidR="00D11820" w:rsidRPr="006F28AE">
        <w:rPr>
          <w:b/>
        </w:rPr>
        <w:t xml:space="preserve">Danışman </w:t>
      </w:r>
      <w:r w:rsidR="00896EB1" w:rsidRPr="006F28AE">
        <w:rPr>
          <w:b/>
        </w:rPr>
        <w:t>A</w:t>
      </w:r>
      <w:r w:rsidR="00D11820" w:rsidRPr="006F28AE">
        <w:rPr>
          <w:b/>
        </w:rPr>
        <w:t>tanması</w:t>
      </w:r>
    </w:p>
    <w:p w:rsidR="00896EB1" w:rsidRPr="006F28AE" w:rsidRDefault="00896EB1" w:rsidP="00D128E5">
      <w:pPr>
        <w:spacing w:before="120"/>
        <w:jc w:val="both"/>
      </w:pPr>
      <w:r w:rsidRPr="006F28AE">
        <w:t xml:space="preserve">(1) </w:t>
      </w:r>
      <w:r w:rsidR="0053039F" w:rsidRPr="006F28AE">
        <w:t>Sanatta yeterlik programındaki öğrenciye en geç üçüncü yarıyıl başına</w:t>
      </w:r>
      <w:r w:rsidRPr="006F28AE">
        <w:t xml:space="preserve"> kadar ilgili enstitü anasanat d</w:t>
      </w:r>
      <w:r w:rsidR="0053039F" w:rsidRPr="006F28AE">
        <w:t xml:space="preserve">alının önerisi ve Enstitü Yönetim Kurulu kararıyla </w:t>
      </w:r>
      <w:r w:rsidRPr="006F28AE">
        <w:t xml:space="preserve">sanatta yeterlik çalışması danışmanı </w:t>
      </w:r>
      <w:r w:rsidR="0053039F" w:rsidRPr="006F28AE">
        <w:t xml:space="preserve">atanır. </w:t>
      </w:r>
    </w:p>
    <w:p w:rsidR="0053039F" w:rsidRPr="006F28AE" w:rsidRDefault="00896EB1" w:rsidP="00D128E5">
      <w:pPr>
        <w:spacing w:before="120"/>
        <w:jc w:val="both"/>
      </w:pPr>
      <w:r w:rsidRPr="006F28AE">
        <w:t xml:space="preserve">(2) </w:t>
      </w:r>
      <w:r w:rsidR="0053039F" w:rsidRPr="006F28AE">
        <w:t xml:space="preserve">Danışman belirlenirken öğrencinin ve aday öğretim üyesinin de görüşü alınır. Sanatta yeterlik çalışması danışmanı olacak öğretim üyelerinde aranan nitelikler Senato tarafından belirlenir. </w:t>
      </w:r>
    </w:p>
    <w:p w:rsidR="00D11820" w:rsidRPr="006F28AE" w:rsidRDefault="00896EB1" w:rsidP="00D128E5">
      <w:pPr>
        <w:spacing w:before="120"/>
        <w:jc w:val="both"/>
        <w:rPr>
          <w:b/>
        </w:rPr>
      </w:pPr>
      <w:r w:rsidRPr="006F28AE">
        <w:rPr>
          <w:b/>
        </w:rPr>
        <w:t xml:space="preserve">Madde 47 </w:t>
      </w:r>
      <w:r w:rsidR="0053039F" w:rsidRPr="006F28AE">
        <w:rPr>
          <w:b/>
        </w:rPr>
        <w:t xml:space="preserve">- </w:t>
      </w:r>
      <w:r w:rsidR="00D11820" w:rsidRPr="006F28AE">
        <w:rPr>
          <w:b/>
        </w:rPr>
        <w:t xml:space="preserve">Yeterlik </w:t>
      </w:r>
      <w:r w:rsidRPr="006F28AE">
        <w:rPr>
          <w:b/>
        </w:rPr>
        <w:t>Çalışmasının Sonuçlanması</w:t>
      </w:r>
    </w:p>
    <w:p w:rsidR="001A2718" w:rsidRPr="006F28AE" w:rsidRDefault="001A2718" w:rsidP="00D128E5">
      <w:pPr>
        <w:spacing w:before="120"/>
        <w:jc w:val="both"/>
      </w:pPr>
      <w:r w:rsidRPr="006F28AE">
        <w:t xml:space="preserve">(1) </w:t>
      </w:r>
      <w:r w:rsidR="0053039F" w:rsidRPr="006F28AE">
        <w:t xml:space="preserve">Sanatta yeterlik sınavına girebilmek için </w:t>
      </w:r>
      <w:r w:rsidR="00163685" w:rsidRPr="006F28AE">
        <w:t>bu Yönetmeliğin 13’üncü maddesine göre istenilen yabancı dil sınavlarından herhangi birisinden geçerli not</w:t>
      </w:r>
      <w:r w:rsidR="0053039F" w:rsidRPr="006F28AE">
        <w:t xml:space="preserve"> </w:t>
      </w:r>
      <w:r w:rsidR="00163685" w:rsidRPr="006F28AE">
        <w:t>alma koşulunu sağlama</w:t>
      </w:r>
      <w:r w:rsidR="0053039F" w:rsidRPr="006F28AE">
        <w:t xml:space="preserve"> zorunluluğu vardır. Öğrenci bu sınavı yeterlik sınavından önce başarmak zorundadır. Başarı sağlayamayan öğrenciye bir yıl ek süre verilir. Bu süre öğrenim süresinden sayılmaz. Yabancı dil sınavında başarılı olamayan öğrencinin sanatta yeterlik programı ile ilişkisi kesilir. </w:t>
      </w:r>
    </w:p>
    <w:p w:rsidR="001A2718" w:rsidRPr="006F28AE" w:rsidRDefault="001A2718" w:rsidP="00D128E5">
      <w:pPr>
        <w:spacing w:before="120"/>
        <w:jc w:val="both"/>
      </w:pPr>
      <w:r w:rsidRPr="006F28AE">
        <w:t xml:space="preserve">(2) </w:t>
      </w:r>
      <w:r w:rsidR="0053039F" w:rsidRPr="006F28AE">
        <w:t xml:space="preserve">Tez hazırlayan bir öğrenci elde ettiği sonuçları, sergi veya proje hazırlayan bir öğrenci ise çalışmasını açıklayan ve belgeleyen bir metni Senato tarafından kabul edilen yazım kurallarına uygun biçimde yazmak ve ayrıca tezini veya sergisi veya projesini jüri önünde sözlü olarak savunmak zorundadır. Jüri; ilgili enstitü anasanat dalı başkanlığının önerisi ve Enstitü Yönetim Kurulu onayı ile atanır. Jüri, biri öğrencinin danışmanı ve en az ikisi başka yükseköğretim kurumlarının öğretim üyeleri olmak üzere beş kişiden oluşur. </w:t>
      </w:r>
    </w:p>
    <w:p w:rsidR="001A2718" w:rsidRPr="006F28AE" w:rsidRDefault="001A2718" w:rsidP="00D128E5">
      <w:pPr>
        <w:spacing w:before="120"/>
        <w:jc w:val="both"/>
      </w:pPr>
      <w:r w:rsidRPr="006F28AE">
        <w:t xml:space="preserve">(3) </w:t>
      </w:r>
      <w:r w:rsidR="0053039F" w:rsidRPr="006F28AE">
        <w:t xml:space="preserve">Jüri üyeleri, söz konusu tezin veya metnin kendilerine teslim edildiği tarihten itibaren en geç bir ay içinde toplanarak öğrenciyi sınava alır. Sınav, sanatta yeterlik çalışmasının sunulması ve bunu izleyen soru- cevap bölümünden oluşur. Sınavın tamamlanmasından sonra jüri, dinleyicilere kapalı olarak, sanatta yeterlik çalışması veya sergi, proje, resital, konser, temsil hakkında salt çoğunlukla "kabul", "ret" veya "düzeltme" kararı verir. Bu karar, enstitü anasanat </w:t>
      </w:r>
      <w:r w:rsidRPr="006F28AE">
        <w:t xml:space="preserve">dalı başkanlığınca </w:t>
      </w:r>
      <w:r w:rsidR="0053039F" w:rsidRPr="006F28AE">
        <w:t xml:space="preserve">sınavı izleyen üç gün içinde enstitüye tutanakla bildirilir. </w:t>
      </w:r>
    </w:p>
    <w:p w:rsidR="001A2718" w:rsidRPr="006F28AE" w:rsidRDefault="001A2718" w:rsidP="00D128E5">
      <w:pPr>
        <w:spacing w:before="120"/>
        <w:jc w:val="both"/>
      </w:pPr>
      <w:r w:rsidRPr="006F28AE">
        <w:t xml:space="preserve">(4) </w:t>
      </w:r>
      <w:r w:rsidR="0053039F" w:rsidRPr="006F28AE">
        <w:t xml:space="preserve">Sanatta yeterlik çalışması reddedilen öğrencinin enstitü ile ilişkisi kesilir. </w:t>
      </w:r>
    </w:p>
    <w:p w:rsidR="0053039F" w:rsidRPr="006F28AE" w:rsidRDefault="001A2718" w:rsidP="00D128E5">
      <w:pPr>
        <w:spacing w:before="120"/>
        <w:jc w:val="both"/>
      </w:pPr>
      <w:r w:rsidRPr="006F28AE">
        <w:t xml:space="preserve">(5) </w:t>
      </w:r>
      <w:r w:rsidR="0053039F" w:rsidRPr="006F28AE">
        <w:t xml:space="preserve">Sanatta yeterlik çalışması hakkında düzeltme kararı verilen öğrenci en geç üç ay içinde gereğini yaparak tezini veya sergisini veya projesini aynı jüri önünde yeniden savunur. Bu sınav sonunda da sanatta yeterlik çalışması kabul edilmeyen öğrencinin enstitü ile ilişkisi kesilir. </w:t>
      </w:r>
    </w:p>
    <w:p w:rsidR="00D11820" w:rsidRPr="006F28AE" w:rsidRDefault="001A2718" w:rsidP="00D128E5">
      <w:pPr>
        <w:spacing w:before="120"/>
        <w:jc w:val="both"/>
        <w:rPr>
          <w:b/>
        </w:rPr>
      </w:pPr>
      <w:r w:rsidRPr="006F28AE">
        <w:rPr>
          <w:b/>
        </w:rPr>
        <w:t xml:space="preserve">Madde 48  - </w:t>
      </w:r>
      <w:r w:rsidR="00316327" w:rsidRPr="006F28AE">
        <w:rPr>
          <w:b/>
        </w:rPr>
        <w:t xml:space="preserve">Sanatta </w:t>
      </w:r>
      <w:r w:rsidRPr="006F28AE">
        <w:rPr>
          <w:b/>
        </w:rPr>
        <w:t>Yeterlik Diploması</w:t>
      </w:r>
    </w:p>
    <w:p w:rsidR="00316327" w:rsidRPr="006F28AE" w:rsidRDefault="0053039F" w:rsidP="00D128E5">
      <w:pPr>
        <w:spacing w:before="120"/>
        <w:jc w:val="both"/>
      </w:pPr>
      <w:r w:rsidRPr="006F28AE">
        <w:t xml:space="preserve">Sanatta yeterlik çalışması kabul edilerek başarılı olan öğrenciye, gerekli diğer koşulları da sağlamak kaydıyla, sanat dalının özelliğine göre ‘program adını’ taşıyan ‘Sanatta Yeterlik Diploması’ verilir. </w:t>
      </w:r>
    </w:p>
    <w:p w:rsidR="001A2718" w:rsidRPr="006F28AE" w:rsidRDefault="001A2718" w:rsidP="00896EB1">
      <w:pPr>
        <w:jc w:val="center"/>
        <w:rPr>
          <w:b/>
          <w:lang w:eastAsia="tr-TR"/>
        </w:rPr>
      </w:pPr>
    </w:p>
    <w:p w:rsidR="00896EB1" w:rsidRPr="006F28AE" w:rsidRDefault="00896EB1" w:rsidP="00896EB1">
      <w:pPr>
        <w:jc w:val="center"/>
        <w:rPr>
          <w:b/>
          <w:lang w:eastAsia="tr-TR"/>
        </w:rPr>
      </w:pPr>
      <w:r w:rsidRPr="006F28AE">
        <w:rPr>
          <w:b/>
          <w:lang w:eastAsia="tr-TR"/>
        </w:rPr>
        <w:t>ALTINCI BÖLÜM</w:t>
      </w:r>
    </w:p>
    <w:p w:rsidR="00896EB1" w:rsidRPr="006F28AE" w:rsidRDefault="00896EB1" w:rsidP="00896EB1">
      <w:pPr>
        <w:tabs>
          <w:tab w:val="left" w:pos="410"/>
        </w:tabs>
        <w:spacing w:line="240" w:lineRule="atLeast"/>
        <w:jc w:val="center"/>
        <w:rPr>
          <w:b/>
          <w:lang w:eastAsia="tr-TR"/>
        </w:rPr>
      </w:pPr>
      <w:r w:rsidRPr="006F28AE">
        <w:rPr>
          <w:b/>
          <w:lang w:eastAsia="tr-TR"/>
        </w:rPr>
        <w:t>Son Hükümler</w:t>
      </w:r>
    </w:p>
    <w:p w:rsidR="00896EB1" w:rsidRPr="006F28AE" w:rsidRDefault="00896EB1" w:rsidP="00896EB1">
      <w:pPr>
        <w:spacing w:before="120" w:after="120"/>
        <w:jc w:val="both"/>
        <w:rPr>
          <w:b/>
        </w:rPr>
      </w:pPr>
      <w:r w:rsidRPr="006F28AE">
        <w:rPr>
          <w:b/>
        </w:rPr>
        <w:t>Madde 49</w:t>
      </w:r>
      <w:r w:rsidRPr="006F28AE">
        <w:t xml:space="preserve"> - </w:t>
      </w:r>
      <w:r w:rsidRPr="006F28AE">
        <w:rPr>
          <w:b/>
        </w:rPr>
        <w:t xml:space="preserve">Hüküm Bulunmayan Haller </w:t>
      </w:r>
    </w:p>
    <w:p w:rsidR="00896EB1" w:rsidRPr="006F28AE" w:rsidRDefault="00896EB1" w:rsidP="00896EB1">
      <w:pPr>
        <w:spacing w:before="120" w:after="120"/>
        <w:jc w:val="both"/>
      </w:pPr>
      <w:r w:rsidRPr="006F28AE">
        <w:t>Bu Yönetmelikte hüküm bulunmayan hallerde ilgili diğer mevzuat hükümleri ile Senato ve ilgili birim kurullarının kararları uygulanır.</w:t>
      </w:r>
    </w:p>
    <w:p w:rsidR="00896EB1" w:rsidRPr="006F28AE" w:rsidRDefault="00896EB1" w:rsidP="00896EB1">
      <w:pPr>
        <w:spacing w:before="120" w:after="120"/>
        <w:jc w:val="both"/>
        <w:rPr>
          <w:b/>
        </w:rPr>
      </w:pPr>
      <w:r w:rsidRPr="006F28AE">
        <w:rPr>
          <w:b/>
        </w:rPr>
        <w:t>Madde 50</w:t>
      </w:r>
      <w:r w:rsidRPr="006F28AE">
        <w:t xml:space="preserve"> - </w:t>
      </w:r>
      <w:r w:rsidRPr="006F28AE">
        <w:rPr>
          <w:b/>
        </w:rPr>
        <w:t>Yürürlük</w:t>
      </w:r>
    </w:p>
    <w:p w:rsidR="00896EB1" w:rsidRPr="006F28AE" w:rsidRDefault="00896EB1" w:rsidP="00896EB1">
      <w:pPr>
        <w:spacing w:before="120" w:after="120"/>
        <w:jc w:val="both"/>
        <w:rPr>
          <w:b/>
        </w:rPr>
      </w:pPr>
      <w:r w:rsidRPr="006F28AE">
        <w:t>Bu Yönetmelik yayım tarihinden itibaren yürürlüğe girer.</w:t>
      </w:r>
    </w:p>
    <w:p w:rsidR="00896EB1" w:rsidRPr="006F28AE" w:rsidRDefault="00896EB1" w:rsidP="00896EB1">
      <w:pPr>
        <w:spacing w:before="120" w:after="120"/>
        <w:jc w:val="both"/>
        <w:rPr>
          <w:b/>
        </w:rPr>
      </w:pPr>
      <w:r w:rsidRPr="006F28AE">
        <w:rPr>
          <w:b/>
        </w:rPr>
        <w:t xml:space="preserve">Madde 51 - Yürütme </w:t>
      </w:r>
    </w:p>
    <w:p w:rsidR="00896EB1" w:rsidRPr="004E370F" w:rsidRDefault="00896EB1" w:rsidP="00896EB1">
      <w:pPr>
        <w:spacing w:before="120" w:after="120"/>
        <w:jc w:val="both"/>
      </w:pPr>
      <w:r w:rsidRPr="006F28AE">
        <w:t>Bu Yönetmelik hükümlerini Rektör yürütür.</w:t>
      </w:r>
      <w:bookmarkStart w:id="1" w:name="_GoBack"/>
      <w:bookmarkEnd w:id="1"/>
    </w:p>
    <w:p w:rsidR="0053039F" w:rsidRDefault="0053039F" w:rsidP="00D128E5">
      <w:pPr>
        <w:spacing w:before="120"/>
        <w:jc w:val="both"/>
      </w:pPr>
    </w:p>
    <w:p w:rsidR="00BE5EC2" w:rsidRPr="00BE5EC2" w:rsidRDefault="00BE5EC2" w:rsidP="00D128E5">
      <w:pPr>
        <w:spacing w:before="120"/>
        <w:jc w:val="both"/>
      </w:pPr>
    </w:p>
    <w:sectPr w:rsidR="00BE5EC2" w:rsidRPr="00BE5EC2" w:rsidSect="004E2988">
      <w:footerReference w:type="default" r:id="rId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1D" w:rsidRDefault="00E8721D">
      <w:r>
        <w:separator/>
      </w:r>
    </w:p>
  </w:endnote>
  <w:endnote w:type="continuationSeparator" w:id="0">
    <w:p w:rsidR="00E8721D" w:rsidRDefault="00E8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C2" w:rsidRPr="00E00636" w:rsidRDefault="006546FF" w:rsidP="0039129F">
    <w:pPr>
      <w:pStyle w:val="Footer"/>
      <w:framePr w:wrap="around" w:vAnchor="text" w:hAnchor="margin" w:xAlign="right" w:y="1"/>
      <w:rPr>
        <w:rStyle w:val="PageNumber"/>
        <w:sz w:val="20"/>
        <w:szCs w:val="20"/>
      </w:rPr>
    </w:pPr>
    <w:r w:rsidRPr="00E00636">
      <w:rPr>
        <w:rStyle w:val="PageNumber"/>
        <w:sz w:val="20"/>
        <w:szCs w:val="20"/>
      </w:rPr>
      <w:fldChar w:fldCharType="begin"/>
    </w:r>
    <w:r w:rsidR="00AC35C2" w:rsidRPr="00E00636">
      <w:rPr>
        <w:rStyle w:val="PageNumber"/>
        <w:sz w:val="20"/>
        <w:szCs w:val="20"/>
      </w:rPr>
      <w:instrText xml:space="preserve">PAGE  </w:instrText>
    </w:r>
    <w:r w:rsidRPr="00E00636">
      <w:rPr>
        <w:rStyle w:val="PageNumber"/>
        <w:sz w:val="20"/>
        <w:szCs w:val="20"/>
      </w:rPr>
      <w:fldChar w:fldCharType="separate"/>
    </w:r>
    <w:r w:rsidR="00E8721D">
      <w:rPr>
        <w:rStyle w:val="PageNumber"/>
        <w:noProof/>
        <w:sz w:val="20"/>
        <w:szCs w:val="20"/>
      </w:rPr>
      <w:t>1</w:t>
    </w:r>
    <w:r w:rsidRPr="00E00636">
      <w:rPr>
        <w:rStyle w:val="PageNumber"/>
        <w:sz w:val="20"/>
        <w:szCs w:val="20"/>
      </w:rPr>
      <w:fldChar w:fldCharType="end"/>
    </w:r>
  </w:p>
  <w:p w:rsidR="00AC35C2" w:rsidRPr="00E00636" w:rsidRDefault="00AC35C2" w:rsidP="00E0063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1D" w:rsidRDefault="00E8721D">
      <w:r>
        <w:separator/>
      </w:r>
    </w:p>
  </w:footnote>
  <w:footnote w:type="continuationSeparator" w:id="0">
    <w:p w:rsidR="00E8721D" w:rsidRDefault="00E8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2"/>
    <w:rsid w:val="00000EAD"/>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52EC"/>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568EB"/>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4A1E"/>
    <w:rsid w:val="000B680B"/>
    <w:rsid w:val="000B784F"/>
    <w:rsid w:val="000C18C4"/>
    <w:rsid w:val="000C5106"/>
    <w:rsid w:val="000C58A2"/>
    <w:rsid w:val="000C6501"/>
    <w:rsid w:val="000C7168"/>
    <w:rsid w:val="000C71D3"/>
    <w:rsid w:val="000D0FAB"/>
    <w:rsid w:val="000E0AAA"/>
    <w:rsid w:val="000E0B1F"/>
    <w:rsid w:val="000E343B"/>
    <w:rsid w:val="000E42F9"/>
    <w:rsid w:val="000F0BC2"/>
    <w:rsid w:val="000F1FAF"/>
    <w:rsid w:val="00100061"/>
    <w:rsid w:val="00100A4B"/>
    <w:rsid w:val="001040EA"/>
    <w:rsid w:val="00104FBA"/>
    <w:rsid w:val="00106796"/>
    <w:rsid w:val="00107573"/>
    <w:rsid w:val="00110D6F"/>
    <w:rsid w:val="00111EA0"/>
    <w:rsid w:val="00112B5E"/>
    <w:rsid w:val="00120895"/>
    <w:rsid w:val="00124FB5"/>
    <w:rsid w:val="001255EC"/>
    <w:rsid w:val="001271E5"/>
    <w:rsid w:val="001277EE"/>
    <w:rsid w:val="00130525"/>
    <w:rsid w:val="00131A43"/>
    <w:rsid w:val="001322F0"/>
    <w:rsid w:val="001353CE"/>
    <w:rsid w:val="001376B2"/>
    <w:rsid w:val="00140D18"/>
    <w:rsid w:val="0014190A"/>
    <w:rsid w:val="00141CE5"/>
    <w:rsid w:val="00144B94"/>
    <w:rsid w:val="001451DF"/>
    <w:rsid w:val="0014720B"/>
    <w:rsid w:val="00150378"/>
    <w:rsid w:val="00150548"/>
    <w:rsid w:val="00150B19"/>
    <w:rsid w:val="00151B34"/>
    <w:rsid w:val="001537E5"/>
    <w:rsid w:val="00154AA1"/>
    <w:rsid w:val="00163685"/>
    <w:rsid w:val="00163A42"/>
    <w:rsid w:val="00166C77"/>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2718"/>
    <w:rsid w:val="001A4521"/>
    <w:rsid w:val="001A50A4"/>
    <w:rsid w:val="001A5E83"/>
    <w:rsid w:val="001A614A"/>
    <w:rsid w:val="001B6A60"/>
    <w:rsid w:val="001B6E7C"/>
    <w:rsid w:val="001C1EF8"/>
    <w:rsid w:val="001C58FB"/>
    <w:rsid w:val="001C5A0E"/>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005A"/>
    <w:rsid w:val="00221EB1"/>
    <w:rsid w:val="0022201B"/>
    <w:rsid w:val="00222C4B"/>
    <w:rsid w:val="00223956"/>
    <w:rsid w:val="0022431B"/>
    <w:rsid w:val="00226DA9"/>
    <w:rsid w:val="002279E5"/>
    <w:rsid w:val="002306CD"/>
    <w:rsid w:val="00230847"/>
    <w:rsid w:val="002337CF"/>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C4810"/>
    <w:rsid w:val="002D36C9"/>
    <w:rsid w:val="002D6078"/>
    <w:rsid w:val="002D7E0C"/>
    <w:rsid w:val="002E026C"/>
    <w:rsid w:val="002E22EA"/>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6327"/>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1649"/>
    <w:rsid w:val="003D2561"/>
    <w:rsid w:val="003D4B06"/>
    <w:rsid w:val="003D5435"/>
    <w:rsid w:val="003D5AEB"/>
    <w:rsid w:val="003D7226"/>
    <w:rsid w:val="003D74CF"/>
    <w:rsid w:val="003D7E33"/>
    <w:rsid w:val="003E0578"/>
    <w:rsid w:val="003E2C07"/>
    <w:rsid w:val="003E5D76"/>
    <w:rsid w:val="003E64E7"/>
    <w:rsid w:val="003E7CCF"/>
    <w:rsid w:val="003F094A"/>
    <w:rsid w:val="003F0A89"/>
    <w:rsid w:val="003F2348"/>
    <w:rsid w:val="003F29C2"/>
    <w:rsid w:val="003F6A1A"/>
    <w:rsid w:val="004017BD"/>
    <w:rsid w:val="00406743"/>
    <w:rsid w:val="0040705E"/>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199"/>
    <w:rsid w:val="004353D7"/>
    <w:rsid w:val="004360C8"/>
    <w:rsid w:val="00436705"/>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3C5F"/>
    <w:rsid w:val="004B45D9"/>
    <w:rsid w:val="004B475E"/>
    <w:rsid w:val="004B486B"/>
    <w:rsid w:val="004C0553"/>
    <w:rsid w:val="004C5307"/>
    <w:rsid w:val="004C545B"/>
    <w:rsid w:val="004C59C3"/>
    <w:rsid w:val="004C5ADD"/>
    <w:rsid w:val="004C74D2"/>
    <w:rsid w:val="004D082C"/>
    <w:rsid w:val="004D15A5"/>
    <w:rsid w:val="004D52C8"/>
    <w:rsid w:val="004E02D1"/>
    <w:rsid w:val="004E0799"/>
    <w:rsid w:val="004E2988"/>
    <w:rsid w:val="004E2AF0"/>
    <w:rsid w:val="004E3206"/>
    <w:rsid w:val="004E47C0"/>
    <w:rsid w:val="004E5F6E"/>
    <w:rsid w:val="004E663C"/>
    <w:rsid w:val="004E7E0E"/>
    <w:rsid w:val="004F0B19"/>
    <w:rsid w:val="004F0D34"/>
    <w:rsid w:val="004F1677"/>
    <w:rsid w:val="004F1E82"/>
    <w:rsid w:val="004F30D3"/>
    <w:rsid w:val="004F321A"/>
    <w:rsid w:val="004F4587"/>
    <w:rsid w:val="004F4733"/>
    <w:rsid w:val="004F5616"/>
    <w:rsid w:val="004F6272"/>
    <w:rsid w:val="004F6FDD"/>
    <w:rsid w:val="005006FD"/>
    <w:rsid w:val="00502506"/>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39F"/>
    <w:rsid w:val="005308DF"/>
    <w:rsid w:val="00533BB0"/>
    <w:rsid w:val="00534CCE"/>
    <w:rsid w:val="00535B22"/>
    <w:rsid w:val="0053710E"/>
    <w:rsid w:val="00541A5B"/>
    <w:rsid w:val="0054329C"/>
    <w:rsid w:val="0054498E"/>
    <w:rsid w:val="005454DA"/>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86E0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E5C1E"/>
    <w:rsid w:val="005F1A0A"/>
    <w:rsid w:val="005F3A22"/>
    <w:rsid w:val="005F3F22"/>
    <w:rsid w:val="005F7260"/>
    <w:rsid w:val="00602100"/>
    <w:rsid w:val="00602378"/>
    <w:rsid w:val="00603CE9"/>
    <w:rsid w:val="006121C0"/>
    <w:rsid w:val="0061408B"/>
    <w:rsid w:val="0061558C"/>
    <w:rsid w:val="00616523"/>
    <w:rsid w:val="006171ED"/>
    <w:rsid w:val="006215B0"/>
    <w:rsid w:val="00622B2D"/>
    <w:rsid w:val="00622BD3"/>
    <w:rsid w:val="006272FD"/>
    <w:rsid w:val="006276B4"/>
    <w:rsid w:val="006278DA"/>
    <w:rsid w:val="0063041F"/>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6FF"/>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137"/>
    <w:rsid w:val="006B79ED"/>
    <w:rsid w:val="006C0CBD"/>
    <w:rsid w:val="006C166C"/>
    <w:rsid w:val="006C48CA"/>
    <w:rsid w:val="006C547E"/>
    <w:rsid w:val="006C54EF"/>
    <w:rsid w:val="006C5A3E"/>
    <w:rsid w:val="006C749E"/>
    <w:rsid w:val="006D2E29"/>
    <w:rsid w:val="006D32E5"/>
    <w:rsid w:val="006E41E8"/>
    <w:rsid w:val="006E53E3"/>
    <w:rsid w:val="006E6A47"/>
    <w:rsid w:val="006E77EC"/>
    <w:rsid w:val="006E7CCA"/>
    <w:rsid w:val="006F153D"/>
    <w:rsid w:val="006F28AE"/>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353"/>
    <w:rsid w:val="007169EE"/>
    <w:rsid w:val="00722132"/>
    <w:rsid w:val="00722386"/>
    <w:rsid w:val="00722E9D"/>
    <w:rsid w:val="007252DA"/>
    <w:rsid w:val="007265AF"/>
    <w:rsid w:val="00732080"/>
    <w:rsid w:val="0073226F"/>
    <w:rsid w:val="007324FB"/>
    <w:rsid w:val="00732505"/>
    <w:rsid w:val="00733CCD"/>
    <w:rsid w:val="00733EF2"/>
    <w:rsid w:val="00736B39"/>
    <w:rsid w:val="00737FD8"/>
    <w:rsid w:val="00743D81"/>
    <w:rsid w:val="00743E73"/>
    <w:rsid w:val="0074454C"/>
    <w:rsid w:val="00746EF0"/>
    <w:rsid w:val="00747950"/>
    <w:rsid w:val="00747DA4"/>
    <w:rsid w:val="00754B78"/>
    <w:rsid w:val="00754C1D"/>
    <w:rsid w:val="007565BB"/>
    <w:rsid w:val="007567A3"/>
    <w:rsid w:val="007600EA"/>
    <w:rsid w:val="00760948"/>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4DF1"/>
    <w:rsid w:val="0081502F"/>
    <w:rsid w:val="00816007"/>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3A06"/>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96EB1"/>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37857"/>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B692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11CB"/>
    <w:rsid w:val="009F240B"/>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90A"/>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76123"/>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35C2"/>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4EC8"/>
    <w:rsid w:val="00B35004"/>
    <w:rsid w:val="00B35D7C"/>
    <w:rsid w:val="00B36EE8"/>
    <w:rsid w:val="00B37148"/>
    <w:rsid w:val="00B37271"/>
    <w:rsid w:val="00B375E9"/>
    <w:rsid w:val="00B40647"/>
    <w:rsid w:val="00B4076E"/>
    <w:rsid w:val="00B4225E"/>
    <w:rsid w:val="00B435AD"/>
    <w:rsid w:val="00B44DE9"/>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E5EC2"/>
    <w:rsid w:val="00BF488C"/>
    <w:rsid w:val="00BF528E"/>
    <w:rsid w:val="00C00448"/>
    <w:rsid w:val="00C01C75"/>
    <w:rsid w:val="00C02999"/>
    <w:rsid w:val="00C04C8E"/>
    <w:rsid w:val="00C05FCA"/>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4D4"/>
    <w:rsid w:val="00CA66BE"/>
    <w:rsid w:val="00CA770D"/>
    <w:rsid w:val="00CB041C"/>
    <w:rsid w:val="00CB17DB"/>
    <w:rsid w:val="00CB3245"/>
    <w:rsid w:val="00CB6348"/>
    <w:rsid w:val="00CC1378"/>
    <w:rsid w:val="00CC2523"/>
    <w:rsid w:val="00CC28F8"/>
    <w:rsid w:val="00CC475F"/>
    <w:rsid w:val="00CC5561"/>
    <w:rsid w:val="00CC703D"/>
    <w:rsid w:val="00CC72F1"/>
    <w:rsid w:val="00CC7B03"/>
    <w:rsid w:val="00CD094E"/>
    <w:rsid w:val="00CD21C1"/>
    <w:rsid w:val="00CD719F"/>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8A1"/>
    <w:rsid w:val="00D06E4C"/>
    <w:rsid w:val="00D0739B"/>
    <w:rsid w:val="00D077BA"/>
    <w:rsid w:val="00D07B0B"/>
    <w:rsid w:val="00D111AB"/>
    <w:rsid w:val="00D11820"/>
    <w:rsid w:val="00D128E5"/>
    <w:rsid w:val="00D13274"/>
    <w:rsid w:val="00D14889"/>
    <w:rsid w:val="00D156C0"/>
    <w:rsid w:val="00D178D0"/>
    <w:rsid w:val="00D178F0"/>
    <w:rsid w:val="00D226A6"/>
    <w:rsid w:val="00D227FC"/>
    <w:rsid w:val="00D24562"/>
    <w:rsid w:val="00D31F8F"/>
    <w:rsid w:val="00D361C0"/>
    <w:rsid w:val="00D3698C"/>
    <w:rsid w:val="00D44B63"/>
    <w:rsid w:val="00D44FBA"/>
    <w:rsid w:val="00D45F6D"/>
    <w:rsid w:val="00D50844"/>
    <w:rsid w:val="00D51424"/>
    <w:rsid w:val="00D5189A"/>
    <w:rsid w:val="00D566DE"/>
    <w:rsid w:val="00D56914"/>
    <w:rsid w:val="00D57D8D"/>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2C2C"/>
    <w:rsid w:val="00D93206"/>
    <w:rsid w:val="00D94097"/>
    <w:rsid w:val="00D94489"/>
    <w:rsid w:val="00D94CD7"/>
    <w:rsid w:val="00D96AA3"/>
    <w:rsid w:val="00D97754"/>
    <w:rsid w:val="00DA05F9"/>
    <w:rsid w:val="00DA1E43"/>
    <w:rsid w:val="00DA2A4B"/>
    <w:rsid w:val="00DA356F"/>
    <w:rsid w:val="00DA6817"/>
    <w:rsid w:val="00DA7DF5"/>
    <w:rsid w:val="00DA7F5D"/>
    <w:rsid w:val="00DB25F8"/>
    <w:rsid w:val="00DB3899"/>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6E2"/>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1B4"/>
    <w:rsid w:val="00E624BA"/>
    <w:rsid w:val="00E6347B"/>
    <w:rsid w:val="00E64223"/>
    <w:rsid w:val="00E64E47"/>
    <w:rsid w:val="00E66479"/>
    <w:rsid w:val="00E66603"/>
    <w:rsid w:val="00E67BA4"/>
    <w:rsid w:val="00E71900"/>
    <w:rsid w:val="00E7497B"/>
    <w:rsid w:val="00E766B9"/>
    <w:rsid w:val="00E76D42"/>
    <w:rsid w:val="00E77526"/>
    <w:rsid w:val="00E77D48"/>
    <w:rsid w:val="00E825A4"/>
    <w:rsid w:val="00E82F2F"/>
    <w:rsid w:val="00E82F44"/>
    <w:rsid w:val="00E83A97"/>
    <w:rsid w:val="00E849EA"/>
    <w:rsid w:val="00E8721D"/>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3E81"/>
    <w:rsid w:val="00EF4CE3"/>
    <w:rsid w:val="00EF5006"/>
    <w:rsid w:val="00EF5F57"/>
    <w:rsid w:val="00EF6DD0"/>
    <w:rsid w:val="00EF78CF"/>
    <w:rsid w:val="00F01437"/>
    <w:rsid w:val="00F04F32"/>
    <w:rsid w:val="00F05F9B"/>
    <w:rsid w:val="00F06DA9"/>
    <w:rsid w:val="00F06ED1"/>
    <w:rsid w:val="00F070B4"/>
    <w:rsid w:val="00F102E6"/>
    <w:rsid w:val="00F10CB8"/>
    <w:rsid w:val="00F10FB1"/>
    <w:rsid w:val="00F12B02"/>
    <w:rsid w:val="00F12CFE"/>
    <w:rsid w:val="00F158C2"/>
    <w:rsid w:val="00F16719"/>
    <w:rsid w:val="00F16F44"/>
    <w:rsid w:val="00F174B1"/>
    <w:rsid w:val="00F178F2"/>
    <w:rsid w:val="00F17B6E"/>
    <w:rsid w:val="00F202BF"/>
    <w:rsid w:val="00F23096"/>
    <w:rsid w:val="00F24AE6"/>
    <w:rsid w:val="00F24CE8"/>
    <w:rsid w:val="00F2625D"/>
    <w:rsid w:val="00F26C27"/>
    <w:rsid w:val="00F30BFB"/>
    <w:rsid w:val="00F3142B"/>
    <w:rsid w:val="00F3198C"/>
    <w:rsid w:val="00F32CE1"/>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3BA9"/>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5A8DCB-718D-42CF-9D84-A3054CE6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12"/>
    <w:rPr>
      <w:sz w:val="24"/>
      <w:szCs w:val="24"/>
      <w:lang w:eastAsia="en-US"/>
    </w:rPr>
  </w:style>
  <w:style w:type="paragraph" w:styleId="Heading1">
    <w:name w:val="heading 1"/>
    <w:basedOn w:val="Normal"/>
    <w:next w:val="Normal"/>
    <w:link w:val="Heading1Char"/>
    <w:qFormat/>
    <w:rsid w:val="00B97012"/>
    <w:pPr>
      <w:widowControl w:val="0"/>
      <w:tabs>
        <w:tab w:val="right" w:pos="8928"/>
      </w:tabs>
      <w:suppressAutoHyphens/>
      <w:jc w:val="center"/>
      <w:outlineLvl w:val="0"/>
    </w:pPr>
    <w:rPr>
      <w:rFonts w:ascii="Arial" w:hAnsi="Arial"/>
      <w:b/>
      <w:kern w:val="28"/>
      <w:sz w:val="28"/>
      <w:szCs w:val="20"/>
    </w:rPr>
  </w:style>
  <w:style w:type="paragraph" w:styleId="Heading2">
    <w:name w:val="heading 2"/>
    <w:basedOn w:val="Normal"/>
    <w:next w:val="Normal"/>
    <w:link w:val="Heading2Char"/>
    <w:qFormat/>
    <w:rsid w:val="00B97012"/>
    <w:pPr>
      <w:widowControl w:val="0"/>
      <w:suppressAutoHyphens/>
      <w:spacing w:before="240"/>
      <w:jc w:val="center"/>
      <w:outlineLvl w:val="1"/>
    </w:pPr>
    <w:rPr>
      <w:b/>
      <w:sz w:val="22"/>
      <w:szCs w:val="20"/>
    </w:rPr>
  </w:style>
  <w:style w:type="paragraph" w:styleId="Heading3">
    <w:name w:val="heading 3"/>
    <w:basedOn w:val="Normal"/>
    <w:next w:val="Normal"/>
    <w:link w:val="Heading3Char"/>
    <w:uiPriority w:val="99"/>
    <w:qFormat/>
    <w:rsid w:val="00B97012"/>
    <w:pPr>
      <w:widowControl w:val="0"/>
      <w:suppressAutoHyphens/>
      <w:jc w:val="center"/>
      <w:outlineLvl w:val="2"/>
    </w:pPr>
    <w:rPr>
      <w:b/>
      <w:sz w:val="22"/>
      <w:szCs w:val="20"/>
    </w:rPr>
  </w:style>
  <w:style w:type="paragraph" w:styleId="Heading4">
    <w:name w:val="heading 4"/>
    <w:basedOn w:val="Normal"/>
    <w:next w:val="Normal"/>
    <w:link w:val="Heading4Char"/>
    <w:qFormat/>
    <w:rsid w:val="00B97012"/>
    <w:pPr>
      <w:widowControl w:val="0"/>
      <w:suppressAutoHyphens/>
      <w:spacing w:before="120"/>
      <w:outlineLvl w:val="3"/>
    </w:pPr>
    <w:rPr>
      <w:b/>
      <w:sz w:val="22"/>
      <w:szCs w:val="20"/>
    </w:rPr>
  </w:style>
  <w:style w:type="paragraph" w:styleId="Heading5">
    <w:name w:val="heading 5"/>
    <w:basedOn w:val="Normal"/>
    <w:next w:val="Normal"/>
    <w:link w:val="Heading5Char"/>
    <w:uiPriority w:val="99"/>
    <w:qFormat/>
    <w:rsid w:val="00641819"/>
    <w:pPr>
      <w:keepNext/>
      <w:jc w:val="center"/>
      <w:outlineLvl w:val="4"/>
    </w:pPr>
    <w:rPr>
      <w:b/>
      <w:bCs/>
      <w:sz w:val="20"/>
      <w:lang w:eastAsia="tr-TR"/>
    </w:rPr>
  </w:style>
  <w:style w:type="paragraph" w:styleId="Heading7">
    <w:name w:val="heading 7"/>
    <w:basedOn w:val="Normal"/>
    <w:next w:val="Normal"/>
    <w:link w:val="Heading7Char"/>
    <w:uiPriority w:val="99"/>
    <w:qFormat/>
    <w:rsid w:val="00641819"/>
    <w:pPr>
      <w:keepNext/>
      <w:outlineLvl w:val="6"/>
    </w:pPr>
    <w:rPr>
      <w:rFonts w:ascii="Arial" w:hAnsi="Arial" w:cs="Arial"/>
      <w:b/>
      <w:bCs/>
      <w:szCs w:val="20"/>
    </w:rPr>
  </w:style>
  <w:style w:type="paragraph" w:styleId="Heading8">
    <w:name w:val="heading 8"/>
    <w:basedOn w:val="Normal"/>
    <w:next w:val="Normal"/>
    <w:link w:val="Heading8Char"/>
    <w:uiPriority w:val="99"/>
    <w:qFormat/>
    <w:rsid w:val="00641819"/>
    <w:pPr>
      <w:keepNext/>
      <w:jc w:val="both"/>
      <w:outlineLvl w:val="7"/>
    </w:pPr>
    <w:rPr>
      <w:rFonts w:ascii="Arial" w:hAnsi="Arial" w:cs="Arial"/>
      <w:b/>
      <w:bCs/>
      <w:szCs w:val="20"/>
    </w:rPr>
  </w:style>
  <w:style w:type="paragraph" w:styleId="Heading9">
    <w:name w:val="heading 9"/>
    <w:basedOn w:val="Normal"/>
    <w:next w:val="Normal"/>
    <w:link w:val="Heading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486B"/>
    <w:rPr>
      <w:rFonts w:ascii="Arial" w:hAnsi="Arial"/>
      <w:b/>
      <w:kern w:val="28"/>
      <w:sz w:val="28"/>
      <w:lang w:val="tr-TR" w:eastAsia="en-US"/>
    </w:rPr>
  </w:style>
  <w:style w:type="character" w:customStyle="1" w:styleId="Heading2Char">
    <w:name w:val="Heading 2 Char"/>
    <w:link w:val="Heading2"/>
    <w:rsid w:val="004B486B"/>
    <w:rPr>
      <w:b/>
      <w:sz w:val="22"/>
      <w:lang w:val="tr-TR" w:eastAsia="en-US"/>
    </w:rPr>
  </w:style>
  <w:style w:type="character" w:customStyle="1" w:styleId="Heading3Char">
    <w:name w:val="Heading 3 Char"/>
    <w:link w:val="Heading3"/>
    <w:uiPriority w:val="99"/>
    <w:rsid w:val="004B486B"/>
    <w:rPr>
      <w:b/>
      <w:sz w:val="22"/>
      <w:lang w:val="tr-TR" w:eastAsia="en-US"/>
    </w:rPr>
  </w:style>
  <w:style w:type="character" w:customStyle="1" w:styleId="Heading4Char">
    <w:name w:val="Heading 4 Char"/>
    <w:link w:val="Heading4"/>
    <w:rsid w:val="004B486B"/>
    <w:rPr>
      <w:b/>
      <w:sz w:val="22"/>
      <w:lang w:val="tr-TR" w:eastAsia="en-US"/>
    </w:rPr>
  </w:style>
  <w:style w:type="character" w:customStyle="1" w:styleId="Heading5Char">
    <w:name w:val="Heading 5 Char"/>
    <w:basedOn w:val="DefaultParagraphFont"/>
    <w:link w:val="Heading5"/>
    <w:uiPriority w:val="99"/>
    <w:rsid w:val="00641819"/>
    <w:rPr>
      <w:b/>
      <w:bCs/>
      <w:szCs w:val="24"/>
    </w:rPr>
  </w:style>
  <w:style w:type="character" w:customStyle="1" w:styleId="Heading7Char">
    <w:name w:val="Heading 7 Char"/>
    <w:basedOn w:val="DefaultParagraphFont"/>
    <w:link w:val="Heading7"/>
    <w:uiPriority w:val="99"/>
    <w:rsid w:val="00641819"/>
    <w:rPr>
      <w:rFonts w:ascii="Arial" w:hAnsi="Arial" w:cs="Arial"/>
      <w:b/>
      <w:bCs/>
      <w:sz w:val="24"/>
      <w:lang w:eastAsia="en-US"/>
    </w:rPr>
  </w:style>
  <w:style w:type="character" w:customStyle="1" w:styleId="Heading8Char">
    <w:name w:val="Heading 8 Char"/>
    <w:basedOn w:val="DefaultParagraphFont"/>
    <w:link w:val="Heading8"/>
    <w:uiPriority w:val="99"/>
    <w:rsid w:val="00641819"/>
    <w:rPr>
      <w:rFonts w:ascii="Arial" w:hAnsi="Arial" w:cs="Arial"/>
      <w:b/>
      <w:bCs/>
      <w:sz w:val="24"/>
      <w:lang w:eastAsia="en-US"/>
    </w:rPr>
  </w:style>
  <w:style w:type="character" w:customStyle="1" w:styleId="Heading9Char">
    <w:name w:val="Heading 9 Char"/>
    <w:basedOn w:val="DefaultParagraphFont"/>
    <w:link w:val="Heading9"/>
    <w:uiPriority w:val="99"/>
    <w:rsid w:val="00641819"/>
    <w:rPr>
      <w:rFonts w:asciiTheme="majorHAnsi" w:eastAsiaTheme="majorEastAsia" w:hAnsiTheme="majorHAnsi" w:cstheme="majorBidi"/>
      <w:i/>
      <w:iCs/>
      <w:color w:val="404040" w:themeColor="text1" w:themeTint="BF"/>
      <w:lang w:eastAsia="en-US"/>
    </w:rPr>
  </w:style>
  <w:style w:type="paragraph" w:styleId="ListNumber">
    <w:name w:val="List Number"/>
    <w:basedOn w:val="Normal"/>
    <w:rsid w:val="00B97012"/>
    <w:pPr>
      <w:widowControl w:val="0"/>
      <w:suppressAutoHyphens/>
      <w:spacing w:before="120"/>
      <w:ind w:left="432" w:hanging="432"/>
      <w:jc w:val="both"/>
    </w:pPr>
    <w:rPr>
      <w:sz w:val="22"/>
      <w:szCs w:val="20"/>
    </w:rPr>
  </w:style>
  <w:style w:type="paragraph" w:styleId="Header">
    <w:name w:val="header"/>
    <w:basedOn w:val="Normal"/>
    <w:link w:val="HeaderChar"/>
    <w:rsid w:val="00B97012"/>
    <w:pPr>
      <w:widowControl w:val="0"/>
      <w:tabs>
        <w:tab w:val="center" w:pos="4536"/>
        <w:tab w:val="right" w:pos="9072"/>
      </w:tabs>
      <w:spacing w:before="120"/>
      <w:jc w:val="both"/>
    </w:pPr>
    <w:rPr>
      <w:sz w:val="22"/>
      <w:szCs w:val="20"/>
    </w:rPr>
  </w:style>
  <w:style w:type="character" w:customStyle="1" w:styleId="HeaderChar">
    <w:name w:val="Header Char"/>
    <w:link w:val="Header"/>
    <w:rsid w:val="004B486B"/>
    <w:rPr>
      <w:sz w:val="22"/>
      <w:lang w:val="tr-TR" w:eastAsia="en-US"/>
    </w:rPr>
  </w:style>
  <w:style w:type="paragraph" w:styleId="EndnoteText">
    <w:name w:val="endnote text"/>
    <w:basedOn w:val="Normal"/>
    <w:link w:val="EndnoteTextChar"/>
    <w:semiHidden/>
    <w:rsid w:val="00B97012"/>
    <w:pPr>
      <w:widowControl w:val="0"/>
      <w:suppressAutoHyphens/>
      <w:spacing w:before="120"/>
      <w:jc w:val="both"/>
    </w:pPr>
    <w:rPr>
      <w:sz w:val="22"/>
      <w:szCs w:val="20"/>
    </w:rPr>
  </w:style>
  <w:style w:type="character" w:customStyle="1" w:styleId="EndnoteTextChar">
    <w:name w:val="Endnote Text Char"/>
    <w:link w:val="EndnoteText"/>
    <w:semiHidden/>
    <w:rsid w:val="004B486B"/>
    <w:rPr>
      <w:sz w:val="22"/>
      <w:lang w:val="tr-TR" w:eastAsia="en-US"/>
    </w:rPr>
  </w:style>
  <w:style w:type="paragraph" w:styleId="Footer">
    <w:name w:val="footer"/>
    <w:basedOn w:val="Normal"/>
    <w:link w:val="FooterChar"/>
    <w:uiPriority w:val="99"/>
    <w:rsid w:val="00B97012"/>
    <w:pPr>
      <w:tabs>
        <w:tab w:val="center" w:pos="4536"/>
        <w:tab w:val="right" w:pos="9072"/>
      </w:tabs>
    </w:pPr>
  </w:style>
  <w:style w:type="character" w:customStyle="1" w:styleId="FooterChar">
    <w:name w:val="Footer Char"/>
    <w:link w:val="Footer"/>
    <w:uiPriority w:val="99"/>
    <w:rsid w:val="004B486B"/>
    <w:rPr>
      <w:sz w:val="24"/>
      <w:szCs w:val="24"/>
      <w:lang w:val="tr-TR" w:eastAsia="en-US"/>
    </w:rPr>
  </w:style>
  <w:style w:type="character" w:styleId="PageNumber">
    <w:name w:val="page number"/>
    <w:basedOn w:val="DefaultParagraphFont"/>
    <w:uiPriority w:val="99"/>
    <w:rsid w:val="00B97012"/>
  </w:style>
  <w:style w:type="paragraph" w:styleId="BodyText">
    <w:name w:val="Body Text"/>
    <w:basedOn w:val="Normal"/>
    <w:link w:val="BodyTextChar"/>
    <w:uiPriority w:val="1"/>
    <w:qFormat/>
    <w:rsid w:val="00B97012"/>
    <w:pPr>
      <w:spacing w:before="40"/>
      <w:jc w:val="right"/>
    </w:pPr>
    <w:rPr>
      <w:spacing w:val="-3"/>
      <w:sz w:val="22"/>
    </w:rPr>
  </w:style>
  <w:style w:type="character" w:customStyle="1" w:styleId="BodyTextChar">
    <w:name w:val="Body Text Char"/>
    <w:link w:val="BodyText"/>
    <w:uiPriority w:val="1"/>
    <w:rsid w:val="004B486B"/>
    <w:rPr>
      <w:spacing w:val="-3"/>
      <w:sz w:val="22"/>
      <w:szCs w:val="24"/>
      <w:lang w:val="tr-TR" w:eastAsia="en-US"/>
    </w:rPr>
  </w:style>
  <w:style w:type="paragraph" w:styleId="BodyText3">
    <w:name w:val="Body Text 3"/>
    <w:basedOn w:val="Normal"/>
    <w:link w:val="BodyText3Char"/>
    <w:rsid w:val="00B97012"/>
    <w:pPr>
      <w:spacing w:after="120"/>
    </w:pPr>
    <w:rPr>
      <w:sz w:val="16"/>
      <w:szCs w:val="16"/>
    </w:rPr>
  </w:style>
  <w:style w:type="character" w:customStyle="1" w:styleId="BodyText3Char">
    <w:name w:val="Body Text 3 Char"/>
    <w:link w:val="BodyText3"/>
    <w:rsid w:val="004B486B"/>
    <w:rPr>
      <w:sz w:val="16"/>
      <w:szCs w:val="16"/>
      <w:lang w:val="tr-TR" w:eastAsia="en-US"/>
    </w:rPr>
  </w:style>
  <w:style w:type="character" w:styleId="Strong">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loonText">
    <w:name w:val="Balloon Text"/>
    <w:basedOn w:val="Normal"/>
    <w:link w:val="BalloonTextChar"/>
    <w:uiPriority w:val="99"/>
    <w:semiHidden/>
    <w:rsid w:val="0079476D"/>
    <w:rPr>
      <w:rFonts w:ascii="Tahoma" w:hAnsi="Tahoma" w:cs="Tahoma"/>
      <w:sz w:val="16"/>
      <w:szCs w:val="16"/>
    </w:rPr>
  </w:style>
  <w:style w:type="character" w:customStyle="1" w:styleId="BalloonTextChar">
    <w:name w:val="Balloon Text Char"/>
    <w:link w:val="BalloonText"/>
    <w:uiPriority w:val="99"/>
    <w:semiHidden/>
    <w:rsid w:val="004B486B"/>
    <w:rPr>
      <w:rFonts w:ascii="Tahoma" w:hAnsi="Tahoma" w:cs="Tahoma"/>
      <w:sz w:val="16"/>
      <w:szCs w:val="16"/>
      <w:lang w:val="tr-TR" w:eastAsia="en-US"/>
    </w:rPr>
  </w:style>
  <w:style w:type="paragraph" w:styleId="ListParagraph">
    <w:name w:val="List Paragraph"/>
    <w:basedOn w:val="Normal"/>
    <w:uiPriority w:val="1"/>
    <w:qFormat/>
    <w:rsid w:val="00AB5945"/>
    <w:pPr>
      <w:ind w:left="708"/>
    </w:pPr>
  </w:style>
  <w:style w:type="character" w:styleId="CommentReference">
    <w:name w:val="annotation reference"/>
    <w:rsid w:val="006961B4"/>
    <w:rPr>
      <w:sz w:val="16"/>
      <w:szCs w:val="16"/>
    </w:rPr>
  </w:style>
  <w:style w:type="paragraph" w:styleId="CommentText">
    <w:name w:val="annotation text"/>
    <w:basedOn w:val="Normal"/>
    <w:link w:val="CommentTextChar"/>
    <w:uiPriority w:val="99"/>
    <w:rsid w:val="006961B4"/>
    <w:rPr>
      <w:sz w:val="20"/>
      <w:szCs w:val="20"/>
    </w:rPr>
  </w:style>
  <w:style w:type="character" w:customStyle="1" w:styleId="CommentTextChar">
    <w:name w:val="Comment Text Char"/>
    <w:link w:val="CommentText"/>
    <w:uiPriority w:val="99"/>
    <w:rsid w:val="006961B4"/>
    <w:rPr>
      <w:lang w:val="tr-TR" w:eastAsia="en-US"/>
    </w:rPr>
  </w:style>
  <w:style w:type="paragraph" w:styleId="CommentSubject">
    <w:name w:val="annotation subject"/>
    <w:basedOn w:val="CommentText"/>
    <w:next w:val="CommentText"/>
    <w:link w:val="CommentSubjectChar"/>
    <w:rsid w:val="006961B4"/>
    <w:rPr>
      <w:b/>
      <w:bCs/>
    </w:rPr>
  </w:style>
  <w:style w:type="character" w:customStyle="1" w:styleId="CommentSubjectChar">
    <w:name w:val="Comment Subject Char"/>
    <w:link w:val="CommentSubject"/>
    <w:rsid w:val="006961B4"/>
    <w:rPr>
      <w:b/>
      <w:bCs/>
      <w:lang w:val="tr-TR" w:eastAsia="en-US"/>
    </w:rPr>
  </w:style>
  <w:style w:type="character" w:customStyle="1" w:styleId="fontstyle01">
    <w:name w:val="fontstyle01"/>
    <w:basedOn w:val="DefaultParagraphFont"/>
    <w:rsid w:val="0019584B"/>
    <w:rPr>
      <w:rFonts w:ascii="Times New Roman" w:hAnsi="Times New Roman" w:cs="Times New Roman" w:hint="default"/>
      <w:b/>
      <w:bCs/>
      <w:i w:val="0"/>
      <w:iCs w:val="0"/>
      <w:color w:val="000000"/>
      <w:sz w:val="22"/>
      <w:szCs w:val="22"/>
    </w:rPr>
  </w:style>
  <w:style w:type="table" w:styleId="TableGrid">
    <w:name w:val="Table Grid"/>
    <w:basedOn w:val="TableNormal"/>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3F29C2"/>
    <w:rPr>
      <w:rFonts w:ascii="Calibri" w:hAnsi="Calibri" w:hint="default"/>
      <w:b w:val="0"/>
      <w:bCs w:val="0"/>
      <w:i w:val="0"/>
      <w:iCs w:val="0"/>
      <w:color w:val="000000"/>
      <w:sz w:val="24"/>
      <w:szCs w:val="24"/>
    </w:rPr>
  </w:style>
  <w:style w:type="paragraph" w:styleId="Title">
    <w:name w:val="Title"/>
    <w:basedOn w:val="Normal"/>
    <w:link w:val="TitleChar"/>
    <w:qFormat/>
    <w:rsid w:val="00641819"/>
    <w:pPr>
      <w:jc w:val="center"/>
    </w:pPr>
    <w:rPr>
      <w:b/>
      <w:bCs/>
      <w:sz w:val="22"/>
    </w:rPr>
  </w:style>
  <w:style w:type="character" w:customStyle="1" w:styleId="TitleChar">
    <w:name w:val="Title Char"/>
    <w:basedOn w:val="DefaultParagraphFont"/>
    <w:link w:val="Title"/>
    <w:rsid w:val="00641819"/>
    <w:rPr>
      <w:b/>
      <w:bCs/>
      <w:sz w:val="22"/>
      <w:szCs w:val="24"/>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TopofForm">
    <w:name w:val="HTML Top of Form"/>
    <w:basedOn w:val="Normal"/>
    <w:next w:val="Normal"/>
    <w:link w:val="z-TopofForm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41819"/>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6418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BodyTextIndent3">
    <w:name w:val="Body Text Indent 3"/>
    <w:basedOn w:val="Normal"/>
    <w:link w:val="BodyTextIndent3Char"/>
    <w:uiPriority w:val="99"/>
    <w:rsid w:val="00641819"/>
    <w:pPr>
      <w:spacing w:before="100" w:beforeAutospacing="1" w:after="40"/>
      <w:ind w:firstLine="360"/>
    </w:pPr>
    <w:rPr>
      <w:rFonts w:ascii="Arial" w:hAnsi="Arial" w:cs="Arial"/>
      <w:szCs w:val="16"/>
      <w:lang w:eastAsia="tr-TR"/>
    </w:rPr>
  </w:style>
  <w:style w:type="character" w:customStyle="1" w:styleId="BodyTextIndent3Char">
    <w:name w:val="Body Text Indent 3 Char"/>
    <w:basedOn w:val="DefaultParagraphFont"/>
    <w:link w:val="BodyTextIndent3"/>
    <w:uiPriority w:val="99"/>
    <w:rsid w:val="00641819"/>
    <w:rPr>
      <w:rFonts w:ascii="Arial" w:hAnsi="Arial" w:cs="Arial"/>
      <w:sz w:val="24"/>
      <w:szCs w:val="16"/>
    </w:rPr>
  </w:style>
  <w:style w:type="character" w:styleId="Hyperlink">
    <w:name w:val="Hyperlink"/>
    <w:uiPriority w:val="99"/>
    <w:unhideWhenUsed/>
    <w:rsid w:val="00641819"/>
    <w:rPr>
      <w:color w:val="0000FF"/>
      <w:u w:val="single"/>
    </w:rPr>
  </w:style>
  <w:style w:type="paragraph" w:styleId="DocumentMap">
    <w:name w:val="Document Map"/>
    <w:basedOn w:val="Normal"/>
    <w:link w:val="DocumentMapChar"/>
    <w:uiPriority w:val="99"/>
    <w:unhideWhenUsed/>
    <w:rsid w:val="00641819"/>
    <w:rPr>
      <w:rFonts w:ascii="Lucida Grande" w:hAnsi="Lucida Grande" w:cs="Lucida Grande"/>
    </w:rPr>
  </w:style>
  <w:style w:type="character" w:customStyle="1" w:styleId="DocumentMapChar">
    <w:name w:val="Document Map Char"/>
    <w:basedOn w:val="DefaultParagraphFont"/>
    <w:link w:val="DocumentMap"/>
    <w:uiPriority w:val="99"/>
    <w:rsid w:val="00641819"/>
    <w:rPr>
      <w:rFonts w:ascii="Lucida Grande" w:hAnsi="Lucida Grande" w:cs="Lucida Grande"/>
      <w:sz w:val="24"/>
      <w:szCs w:val="24"/>
      <w:lang w:eastAsia="en-US"/>
    </w:rPr>
  </w:style>
  <w:style w:type="numbering" w:customStyle="1" w:styleId="ListeYok1">
    <w:name w:val="Liste Yok1"/>
    <w:next w:val="NoList"/>
    <w:uiPriority w:val="99"/>
    <w:semiHidden/>
    <w:unhideWhenUsed/>
    <w:rsid w:val="005850AD"/>
  </w:style>
  <w:style w:type="paragraph" w:styleId="BodyTextIndent">
    <w:name w:val="Body Text Indent"/>
    <w:basedOn w:val="Normal"/>
    <w:link w:val="BodyTextIndentChar"/>
    <w:unhideWhenUsed/>
    <w:rsid w:val="005850AD"/>
    <w:pPr>
      <w:ind w:firstLine="720"/>
      <w:jc w:val="both"/>
    </w:pPr>
    <w:rPr>
      <w:sz w:val="20"/>
      <w:szCs w:val="20"/>
      <w:lang w:eastAsia="tr-TR"/>
    </w:rPr>
  </w:style>
  <w:style w:type="character" w:customStyle="1" w:styleId="BodyTextIndentChar">
    <w:name w:val="Body Text Indent Char"/>
    <w:basedOn w:val="DefaultParagraphFont"/>
    <w:link w:val="BodyTextIndent"/>
    <w:rsid w:val="005850AD"/>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851">
      <w:bodyDiv w:val="1"/>
      <w:marLeft w:val="0"/>
      <w:marRight w:val="0"/>
      <w:marTop w:val="0"/>
      <w:marBottom w:val="0"/>
      <w:divBdr>
        <w:top w:val="none" w:sz="0" w:space="0" w:color="auto"/>
        <w:left w:val="none" w:sz="0" w:space="0" w:color="auto"/>
        <w:bottom w:val="none" w:sz="0" w:space="0" w:color="auto"/>
        <w:right w:val="none" w:sz="0" w:space="0" w:color="auto"/>
      </w:divBdr>
    </w:div>
    <w:div w:id="66999673">
      <w:bodyDiv w:val="1"/>
      <w:marLeft w:val="0"/>
      <w:marRight w:val="0"/>
      <w:marTop w:val="0"/>
      <w:marBottom w:val="0"/>
      <w:divBdr>
        <w:top w:val="none" w:sz="0" w:space="0" w:color="auto"/>
        <w:left w:val="none" w:sz="0" w:space="0" w:color="auto"/>
        <w:bottom w:val="none" w:sz="0" w:space="0" w:color="auto"/>
        <w:right w:val="none" w:sz="0" w:space="0" w:color="auto"/>
      </w:divBdr>
    </w:div>
    <w:div w:id="97802346">
      <w:bodyDiv w:val="1"/>
      <w:marLeft w:val="0"/>
      <w:marRight w:val="0"/>
      <w:marTop w:val="0"/>
      <w:marBottom w:val="0"/>
      <w:divBdr>
        <w:top w:val="none" w:sz="0" w:space="0" w:color="auto"/>
        <w:left w:val="none" w:sz="0" w:space="0" w:color="auto"/>
        <w:bottom w:val="none" w:sz="0" w:space="0" w:color="auto"/>
        <w:right w:val="none" w:sz="0" w:space="0" w:color="auto"/>
      </w:divBdr>
      <w:divsChild>
        <w:div w:id="1989819242">
          <w:marLeft w:val="0"/>
          <w:marRight w:val="0"/>
          <w:marTop w:val="0"/>
          <w:marBottom w:val="0"/>
          <w:divBdr>
            <w:top w:val="none" w:sz="0" w:space="0" w:color="auto"/>
            <w:left w:val="none" w:sz="0" w:space="0" w:color="auto"/>
            <w:bottom w:val="none" w:sz="0" w:space="0" w:color="auto"/>
            <w:right w:val="none" w:sz="0" w:space="0" w:color="auto"/>
          </w:divBdr>
        </w:div>
        <w:div w:id="1986424553">
          <w:marLeft w:val="0"/>
          <w:marRight w:val="0"/>
          <w:marTop w:val="0"/>
          <w:marBottom w:val="0"/>
          <w:divBdr>
            <w:top w:val="none" w:sz="0" w:space="0" w:color="auto"/>
            <w:left w:val="none" w:sz="0" w:space="0" w:color="auto"/>
            <w:bottom w:val="none" w:sz="0" w:space="0" w:color="auto"/>
            <w:right w:val="none" w:sz="0" w:space="0" w:color="auto"/>
          </w:divBdr>
        </w:div>
        <w:div w:id="130372374">
          <w:marLeft w:val="0"/>
          <w:marRight w:val="0"/>
          <w:marTop w:val="0"/>
          <w:marBottom w:val="0"/>
          <w:divBdr>
            <w:top w:val="none" w:sz="0" w:space="0" w:color="auto"/>
            <w:left w:val="none" w:sz="0" w:space="0" w:color="auto"/>
            <w:bottom w:val="none" w:sz="0" w:space="0" w:color="auto"/>
            <w:right w:val="none" w:sz="0" w:space="0" w:color="auto"/>
          </w:divBdr>
        </w:div>
      </w:divsChild>
    </w:div>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61702722">
      <w:bodyDiv w:val="1"/>
      <w:marLeft w:val="0"/>
      <w:marRight w:val="0"/>
      <w:marTop w:val="0"/>
      <w:marBottom w:val="0"/>
      <w:divBdr>
        <w:top w:val="none" w:sz="0" w:space="0" w:color="auto"/>
        <w:left w:val="none" w:sz="0" w:space="0" w:color="auto"/>
        <w:bottom w:val="none" w:sz="0" w:space="0" w:color="auto"/>
        <w:right w:val="none" w:sz="0" w:space="0" w:color="auto"/>
      </w:divBdr>
    </w:div>
    <w:div w:id="172956537">
      <w:bodyDiv w:val="1"/>
      <w:marLeft w:val="0"/>
      <w:marRight w:val="0"/>
      <w:marTop w:val="0"/>
      <w:marBottom w:val="0"/>
      <w:divBdr>
        <w:top w:val="none" w:sz="0" w:space="0" w:color="auto"/>
        <w:left w:val="none" w:sz="0" w:space="0" w:color="auto"/>
        <w:bottom w:val="none" w:sz="0" w:space="0" w:color="auto"/>
        <w:right w:val="none" w:sz="0" w:space="0" w:color="auto"/>
      </w:divBdr>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244657212">
      <w:bodyDiv w:val="1"/>
      <w:marLeft w:val="0"/>
      <w:marRight w:val="0"/>
      <w:marTop w:val="0"/>
      <w:marBottom w:val="0"/>
      <w:divBdr>
        <w:top w:val="none" w:sz="0" w:space="0" w:color="auto"/>
        <w:left w:val="none" w:sz="0" w:space="0" w:color="auto"/>
        <w:bottom w:val="none" w:sz="0" w:space="0" w:color="auto"/>
        <w:right w:val="none" w:sz="0" w:space="0" w:color="auto"/>
      </w:divBdr>
    </w:div>
    <w:div w:id="276958040">
      <w:bodyDiv w:val="1"/>
      <w:marLeft w:val="0"/>
      <w:marRight w:val="0"/>
      <w:marTop w:val="0"/>
      <w:marBottom w:val="0"/>
      <w:divBdr>
        <w:top w:val="none" w:sz="0" w:space="0" w:color="auto"/>
        <w:left w:val="none" w:sz="0" w:space="0" w:color="auto"/>
        <w:bottom w:val="none" w:sz="0" w:space="0" w:color="auto"/>
        <w:right w:val="none" w:sz="0" w:space="0" w:color="auto"/>
      </w:divBdr>
    </w:div>
    <w:div w:id="344357540">
      <w:bodyDiv w:val="1"/>
      <w:marLeft w:val="0"/>
      <w:marRight w:val="0"/>
      <w:marTop w:val="0"/>
      <w:marBottom w:val="0"/>
      <w:divBdr>
        <w:top w:val="none" w:sz="0" w:space="0" w:color="auto"/>
        <w:left w:val="none" w:sz="0" w:space="0" w:color="auto"/>
        <w:bottom w:val="none" w:sz="0" w:space="0" w:color="auto"/>
        <w:right w:val="none" w:sz="0" w:space="0" w:color="auto"/>
      </w:divBdr>
      <w:divsChild>
        <w:div w:id="762073647">
          <w:marLeft w:val="0"/>
          <w:marRight w:val="0"/>
          <w:marTop w:val="0"/>
          <w:marBottom w:val="0"/>
          <w:divBdr>
            <w:top w:val="none" w:sz="0" w:space="0" w:color="auto"/>
            <w:left w:val="none" w:sz="0" w:space="0" w:color="auto"/>
            <w:bottom w:val="none" w:sz="0" w:space="0" w:color="auto"/>
            <w:right w:val="none" w:sz="0" w:space="0" w:color="auto"/>
          </w:divBdr>
        </w:div>
        <w:div w:id="2082023986">
          <w:marLeft w:val="0"/>
          <w:marRight w:val="0"/>
          <w:marTop w:val="0"/>
          <w:marBottom w:val="0"/>
          <w:divBdr>
            <w:top w:val="none" w:sz="0" w:space="0" w:color="auto"/>
            <w:left w:val="none" w:sz="0" w:space="0" w:color="auto"/>
            <w:bottom w:val="none" w:sz="0" w:space="0" w:color="auto"/>
            <w:right w:val="none" w:sz="0" w:space="0" w:color="auto"/>
          </w:divBdr>
        </w:div>
        <w:div w:id="1530298327">
          <w:marLeft w:val="0"/>
          <w:marRight w:val="0"/>
          <w:marTop w:val="0"/>
          <w:marBottom w:val="0"/>
          <w:divBdr>
            <w:top w:val="none" w:sz="0" w:space="0" w:color="auto"/>
            <w:left w:val="none" w:sz="0" w:space="0" w:color="auto"/>
            <w:bottom w:val="none" w:sz="0" w:space="0" w:color="auto"/>
            <w:right w:val="none" w:sz="0" w:space="0" w:color="auto"/>
          </w:divBdr>
        </w:div>
      </w:divsChild>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53580125">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367804696">
      <w:bodyDiv w:val="1"/>
      <w:marLeft w:val="0"/>
      <w:marRight w:val="0"/>
      <w:marTop w:val="0"/>
      <w:marBottom w:val="0"/>
      <w:divBdr>
        <w:top w:val="none" w:sz="0" w:space="0" w:color="auto"/>
        <w:left w:val="none" w:sz="0" w:space="0" w:color="auto"/>
        <w:bottom w:val="none" w:sz="0" w:space="0" w:color="auto"/>
        <w:right w:val="none" w:sz="0" w:space="0" w:color="auto"/>
      </w:divBdr>
    </w:div>
    <w:div w:id="370422519">
      <w:bodyDiv w:val="1"/>
      <w:marLeft w:val="0"/>
      <w:marRight w:val="0"/>
      <w:marTop w:val="0"/>
      <w:marBottom w:val="0"/>
      <w:divBdr>
        <w:top w:val="none" w:sz="0" w:space="0" w:color="auto"/>
        <w:left w:val="none" w:sz="0" w:space="0" w:color="auto"/>
        <w:bottom w:val="none" w:sz="0" w:space="0" w:color="auto"/>
        <w:right w:val="none" w:sz="0" w:space="0" w:color="auto"/>
      </w:divBdr>
      <w:divsChild>
        <w:div w:id="597954070">
          <w:marLeft w:val="0"/>
          <w:marRight w:val="0"/>
          <w:marTop w:val="0"/>
          <w:marBottom w:val="0"/>
          <w:divBdr>
            <w:top w:val="none" w:sz="0" w:space="0" w:color="auto"/>
            <w:left w:val="none" w:sz="0" w:space="0" w:color="auto"/>
            <w:bottom w:val="none" w:sz="0" w:space="0" w:color="auto"/>
            <w:right w:val="none" w:sz="0" w:space="0" w:color="auto"/>
          </w:divBdr>
        </w:div>
        <w:div w:id="2106804243">
          <w:marLeft w:val="0"/>
          <w:marRight w:val="0"/>
          <w:marTop w:val="0"/>
          <w:marBottom w:val="0"/>
          <w:divBdr>
            <w:top w:val="none" w:sz="0" w:space="0" w:color="auto"/>
            <w:left w:val="none" w:sz="0" w:space="0" w:color="auto"/>
            <w:bottom w:val="none" w:sz="0" w:space="0" w:color="auto"/>
            <w:right w:val="none" w:sz="0" w:space="0" w:color="auto"/>
          </w:divBdr>
        </w:div>
        <w:div w:id="726419185">
          <w:marLeft w:val="0"/>
          <w:marRight w:val="0"/>
          <w:marTop w:val="0"/>
          <w:marBottom w:val="0"/>
          <w:divBdr>
            <w:top w:val="none" w:sz="0" w:space="0" w:color="auto"/>
            <w:left w:val="none" w:sz="0" w:space="0" w:color="auto"/>
            <w:bottom w:val="none" w:sz="0" w:space="0" w:color="auto"/>
            <w:right w:val="none" w:sz="0" w:space="0" w:color="auto"/>
          </w:divBdr>
        </w:div>
        <w:div w:id="677196560">
          <w:marLeft w:val="0"/>
          <w:marRight w:val="0"/>
          <w:marTop w:val="0"/>
          <w:marBottom w:val="0"/>
          <w:divBdr>
            <w:top w:val="none" w:sz="0" w:space="0" w:color="auto"/>
            <w:left w:val="none" w:sz="0" w:space="0" w:color="auto"/>
            <w:bottom w:val="none" w:sz="0" w:space="0" w:color="auto"/>
            <w:right w:val="none" w:sz="0" w:space="0" w:color="auto"/>
          </w:divBdr>
        </w:div>
        <w:div w:id="1950580585">
          <w:marLeft w:val="0"/>
          <w:marRight w:val="0"/>
          <w:marTop w:val="0"/>
          <w:marBottom w:val="0"/>
          <w:divBdr>
            <w:top w:val="none" w:sz="0" w:space="0" w:color="auto"/>
            <w:left w:val="none" w:sz="0" w:space="0" w:color="auto"/>
            <w:bottom w:val="none" w:sz="0" w:space="0" w:color="auto"/>
            <w:right w:val="none" w:sz="0" w:space="0" w:color="auto"/>
          </w:divBdr>
        </w:div>
      </w:divsChild>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48421116">
      <w:bodyDiv w:val="1"/>
      <w:marLeft w:val="0"/>
      <w:marRight w:val="0"/>
      <w:marTop w:val="0"/>
      <w:marBottom w:val="0"/>
      <w:divBdr>
        <w:top w:val="none" w:sz="0" w:space="0" w:color="auto"/>
        <w:left w:val="none" w:sz="0" w:space="0" w:color="auto"/>
        <w:bottom w:val="none" w:sz="0" w:space="0" w:color="auto"/>
        <w:right w:val="none" w:sz="0" w:space="0" w:color="auto"/>
      </w:divBdr>
      <w:divsChild>
        <w:div w:id="2032681882">
          <w:marLeft w:val="0"/>
          <w:marRight w:val="0"/>
          <w:marTop w:val="0"/>
          <w:marBottom w:val="0"/>
          <w:divBdr>
            <w:top w:val="none" w:sz="0" w:space="0" w:color="auto"/>
            <w:left w:val="none" w:sz="0" w:space="0" w:color="auto"/>
            <w:bottom w:val="none" w:sz="0" w:space="0" w:color="auto"/>
            <w:right w:val="none" w:sz="0" w:space="0" w:color="auto"/>
          </w:divBdr>
        </w:div>
        <w:div w:id="2025008505">
          <w:marLeft w:val="0"/>
          <w:marRight w:val="0"/>
          <w:marTop w:val="0"/>
          <w:marBottom w:val="0"/>
          <w:divBdr>
            <w:top w:val="none" w:sz="0" w:space="0" w:color="auto"/>
            <w:left w:val="none" w:sz="0" w:space="0" w:color="auto"/>
            <w:bottom w:val="none" w:sz="0" w:space="0" w:color="auto"/>
            <w:right w:val="none" w:sz="0" w:space="0" w:color="auto"/>
          </w:divBdr>
        </w:div>
        <w:div w:id="2116711706">
          <w:marLeft w:val="0"/>
          <w:marRight w:val="0"/>
          <w:marTop w:val="0"/>
          <w:marBottom w:val="0"/>
          <w:divBdr>
            <w:top w:val="none" w:sz="0" w:space="0" w:color="auto"/>
            <w:left w:val="none" w:sz="0" w:space="0" w:color="auto"/>
            <w:bottom w:val="none" w:sz="0" w:space="0" w:color="auto"/>
            <w:right w:val="none" w:sz="0" w:space="0" w:color="auto"/>
          </w:divBdr>
        </w:div>
      </w:divsChild>
    </w:div>
    <w:div w:id="570503674">
      <w:bodyDiv w:val="1"/>
      <w:marLeft w:val="0"/>
      <w:marRight w:val="0"/>
      <w:marTop w:val="0"/>
      <w:marBottom w:val="0"/>
      <w:divBdr>
        <w:top w:val="none" w:sz="0" w:space="0" w:color="auto"/>
        <w:left w:val="none" w:sz="0" w:space="0" w:color="auto"/>
        <w:bottom w:val="none" w:sz="0" w:space="0" w:color="auto"/>
        <w:right w:val="none" w:sz="0" w:space="0" w:color="auto"/>
      </w:divBdr>
    </w:div>
    <w:div w:id="580942707">
      <w:bodyDiv w:val="1"/>
      <w:marLeft w:val="0"/>
      <w:marRight w:val="0"/>
      <w:marTop w:val="0"/>
      <w:marBottom w:val="0"/>
      <w:divBdr>
        <w:top w:val="none" w:sz="0" w:space="0" w:color="auto"/>
        <w:left w:val="none" w:sz="0" w:space="0" w:color="auto"/>
        <w:bottom w:val="none" w:sz="0" w:space="0" w:color="auto"/>
        <w:right w:val="none" w:sz="0" w:space="0" w:color="auto"/>
      </w:divBdr>
      <w:divsChild>
        <w:div w:id="181089750">
          <w:marLeft w:val="0"/>
          <w:marRight w:val="0"/>
          <w:marTop w:val="0"/>
          <w:marBottom w:val="0"/>
          <w:divBdr>
            <w:top w:val="none" w:sz="0" w:space="0" w:color="auto"/>
            <w:left w:val="none" w:sz="0" w:space="0" w:color="auto"/>
            <w:bottom w:val="none" w:sz="0" w:space="0" w:color="auto"/>
            <w:right w:val="none" w:sz="0" w:space="0" w:color="auto"/>
          </w:divBdr>
        </w:div>
        <w:div w:id="1690989453">
          <w:marLeft w:val="0"/>
          <w:marRight w:val="0"/>
          <w:marTop w:val="0"/>
          <w:marBottom w:val="0"/>
          <w:divBdr>
            <w:top w:val="none" w:sz="0" w:space="0" w:color="auto"/>
            <w:left w:val="none" w:sz="0" w:space="0" w:color="auto"/>
            <w:bottom w:val="none" w:sz="0" w:space="0" w:color="auto"/>
            <w:right w:val="none" w:sz="0" w:space="0" w:color="auto"/>
          </w:divBdr>
        </w:div>
      </w:divsChild>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608203939">
      <w:bodyDiv w:val="1"/>
      <w:marLeft w:val="0"/>
      <w:marRight w:val="0"/>
      <w:marTop w:val="0"/>
      <w:marBottom w:val="0"/>
      <w:divBdr>
        <w:top w:val="none" w:sz="0" w:space="0" w:color="auto"/>
        <w:left w:val="none" w:sz="0" w:space="0" w:color="auto"/>
        <w:bottom w:val="none" w:sz="0" w:space="0" w:color="auto"/>
        <w:right w:val="none" w:sz="0" w:space="0" w:color="auto"/>
      </w:divBdr>
    </w:div>
    <w:div w:id="652486214">
      <w:bodyDiv w:val="1"/>
      <w:marLeft w:val="0"/>
      <w:marRight w:val="0"/>
      <w:marTop w:val="0"/>
      <w:marBottom w:val="0"/>
      <w:divBdr>
        <w:top w:val="none" w:sz="0" w:space="0" w:color="auto"/>
        <w:left w:val="none" w:sz="0" w:space="0" w:color="auto"/>
        <w:bottom w:val="none" w:sz="0" w:space="0" w:color="auto"/>
        <w:right w:val="none" w:sz="0" w:space="0" w:color="auto"/>
      </w:divBdr>
    </w:div>
    <w:div w:id="715858334">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784733861">
      <w:bodyDiv w:val="1"/>
      <w:marLeft w:val="0"/>
      <w:marRight w:val="0"/>
      <w:marTop w:val="0"/>
      <w:marBottom w:val="0"/>
      <w:divBdr>
        <w:top w:val="none" w:sz="0" w:space="0" w:color="auto"/>
        <w:left w:val="none" w:sz="0" w:space="0" w:color="auto"/>
        <w:bottom w:val="none" w:sz="0" w:space="0" w:color="auto"/>
        <w:right w:val="none" w:sz="0" w:space="0" w:color="auto"/>
      </w:divBdr>
    </w:div>
    <w:div w:id="8701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551786">
          <w:marLeft w:val="0"/>
          <w:marRight w:val="0"/>
          <w:marTop w:val="0"/>
          <w:marBottom w:val="0"/>
          <w:divBdr>
            <w:top w:val="none" w:sz="0" w:space="0" w:color="auto"/>
            <w:left w:val="none" w:sz="0" w:space="0" w:color="auto"/>
            <w:bottom w:val="none" w:sz="0" w:space="0" w:color="auto"/>
            <w:right w:val="none" w:sz="0" w:space="0" w:color="auto"/>
          </w:divBdr>
        </w:div>
        <w:div w:id="108088063">
          <w:marLeft w:val="0"/>
          <w:marRight w:val="0"/>
          <w:marTop w:val="0"/>
          <w:marBottom w:val="0"/>
          <w:divBdr>
            <w:top w:val="none" w:sz="0" w:space="0" w:color="auto"/>
            <w:left w:val="none" w:sz="0" w:space="0" w:color="auto"/>
            <w:bottom w:val="none" w:sz="0" w:space="0" w:color="auto"/>
            <w:right w:val="none" w:sz="0" w:space="0" w:color="auto"/>
          </w:divBdr>
        </w:div>
        <w:div w:id="617297992">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976686248">
      <w:bodyDiv w:val="1"/>
      <w:marLeft w:val="0"/>
      <w:marRight w:val="0"/>
      <w:marTop w:val="0"/>
      <w:marBottom w:val="0"/>
      <w:divBdr>
        <w:top w:val="none" w:sz="0" w:space="0" w:color="auto"/>
        <w:left w:val="none" w:sz="0" w:space="0" w:color="auto"/>
        <w:bottom w:val="none" w:sz="0" w:space="0" w:color="auto"/>
        <w:right w:val="none" w:sz="0" w:space="0" w:color="auto"/>
      </w:divBdr>
      <w:divsChild>
        <w:div w:id="259680743">
          <w:marLeft w:val="0"/>
          <w:marRight w:val="0"/>
          <w:marTop w:val="0"/>
          <w:marBottom w:val="0"/>
          <w:divBdr>
            <w:top w:val="none" w:sz="0" w:space="0" w:color="auto"/>
            <w:left w:val="none" w:sz="0" w:space="0" w:color="auto"/>
            <w:bottom w:val="none" w:sz="0" w:space="0" w:color="auto"/>
            <w:right w:val="none" w:sz="0" w:space="0" w:color="auto"/>
          </w:divBdr>
        </w:div>
        <w:div w:id="1845822033">
          <w:marLeft w:val="0"/>
          <w:marRight w:val="0"/>
          <w:marTop w:val="0"/>
          <w:marBottom w:val="0"/>
          <w:divBdr>
            <w:top w:val="none" w:sz="0" w:space="0" w:color="auto"/>
            <w:left w:val="none" w:sz="0" w:space="0" w:color="auto"/>
            <w:bottom w:val="none" w:sz="0" w:space="0" w:color="auto"/>
            <w:right w:val="none" w:sz="0" w:space="0" w:color="auto"/>
          </w:divBdr>
        </w:div>
        <w:div w:id="1875313579">
          <w:marLeft w:val="0"/>
          <w:marRight w:val="0"/>
          <w:marTop w:val="0"/>
          <w:marBottom w:val="0"/>
          <w:divBdr>
            <w:top w:val="none" w:sz="0" w:space="0" w:color="auto"/>
            <w:left w:val="none" w:sz="0" w:space="0" w:color="auto"/>
            <w:bottom w:val="none" w:sz="0" w:space="0" w:color="auto"/>
            <w:right w:val="none" w:sz="0" w:space="0" w:color="auto"/>
          </w:divBdr>
        </w:div>
      </w:divsChild>
    </w:div>
    <w:div w:id="1044988393">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110007523">
      <w:bodyDiv w:val="1"/>
      <w:marLeft w:val="0"/>
      <w:marRight w:val="0"/>
      <w:marTop w:val="0"/>
      <w:marBottom w:val="0"/>
      <w:divBdr>
        <w:top w:val="none" w:sz="0" w:space="0" w:color="auto"/>
        <w:left w:val="none" w:sz="0" w:space="0" w:color="auto"/>
        <w:bottom w:val="none" w:sz="0" w:space="0" w:color="auto"/>
        <w:right w:val="none" w:sz="0" w:space="0" w:color="auto"/>
      </w:divBdr>
      <w:divsChild>
        <w:div w:id="788426784">
          <w:marLeft w:val="0"/>
          <w:marRight w:val="0"/>
          <w:marTop w:val="0"/>
          <w:marBottom w:val="0"/>
          <w:divBdr>
            <w:top w:val="none" w:sz="0" w:space="0" w:color="auto"/>
            <w:left w:val="none" w:sz="0" w:space="0" w:color="auto"/>
            <w:bottom w:val="none" w:sz="0" w:space="0" w:color="auto"/>
            <w:right w:val="none" w:sz="0" w:space="0" w:color="auto"/>
          </w:divBdr>
        </w:div>
        <w:div w:id="901671408">
          <w:marLeft w:val="0"/>
          <w:marRight w:val="0"/>
          <w:marTop w:val="0"/>
          <w:marBottom w:val="0"/>
          <w:divBdr>
            <w:top w:val="none" w:sz="0" w:space="0" w:color="auto"/>
            <w:left w:val="none" w:sz="0" w:space="0" w:color="auto"/>
            <w:bottom w:val="none" w:sz="0" w:space="0" w:color="auto"/>
            <w:right w:val="none" w:sz="0" w:space="0" w:color="auto"/>
          </w:divBdr>
        </w:div>
        <w:div w:id="980615889">
          <w:marLeft w:val="0"/>
          <w:marRight w:val="0"/>
          <w:marTop w:val="0"/>
          <w:marBottom w:val="0"/>
          <w:divBdr>
            <w:top w:val="none" w:sz="0" w:space="0" w:color="auto"/>
            <w:left w:val="none" w:sz="0" w:space="0" w:color="auto"/>
            <w:bottom w:val="none" w:sz="0" w:space="0" w:color="auto"/>
            <w:right w:val="none" w:sz="0" w:space="0" w:color="auto"/>
          </w:divBdr>
        </w:div>
        <w:div w:id="42874795">
          <w:marLeft w:val="0"/>
          <w:marRight w:val="0"/>
          <w:marTop w:val="0"/>
          <w:marBottom w:val="0"/>
          <w:divBdr>
            <w:top w:val="none" w:sz="0" w:space="0" w:color="auto"/>
            <w:left w:val="none" w:sz="0" w:space="0" w:color="auto"/>
            <w:bottom w:val="none" w:sz="0" w:space="0" w:color="auto"/>
            <w:right w:val="none" w:sz="0" w:space="0" w:color="auto"/>
          </w:divBdr>
        </w:div>
        <w:div w:id="717122636">
          <w:marLeft w:val="0"/>
          <w:marRight w:val="0"/>
          <w:marTop w:val="0"/>
          <w:marBottom w:val="0"/>
          <w:divBdr>
            <w:top w:val="none" w:sz="0" w:space="0" w:color="auto"/>
            <w:left w:val="none" w:sz="0" w:space="0" w:color="auto"/>
            <w:bottom w:val="none" w:sz="0" w:space="0" w:color="auto"/>
            <w:right w:val="none" w:sz="0" w:space="0" w:color="auto"/>
          </w:divBdr>
        </w:div>
      </w:divsChild>
    </w:div>
    <w:div w:id="1173959311">
      <w:bodyDiv w:val="1"/>
      <w:marLeft w:val="0"/>
      <w:marRight w:val="0"/>
      <w:marTop w:val="0"/>
      <w:marBottom w:val="0"/>
      <w:divBdr>
        <w:top w:val="none" w:sz="0" w:space="0" w:color="auto"/>
        <w:left w:val="none" w:sz="0" w:space="0" w:color="auto"/>
        <w:bottom w:val="none" w:sz="0" w:space="0" w:color="auto"/>
        <w:right w:val="none" w:sz="0" w:space="0" w:color="auto"/>
      </w:divBdr>
    </w:div>
    <w:div w:id="1176194119">
      <w:bodyDiv w:val="1"/>
      <w:marLeft w:val="0"/>
      <w:marRight w:val="0"/>
      <w:marTop w:val="0"/>
      <w:marBottom w:val="0"/>
      <w:divBdr>
        <w:top w:val="none" w:sz="0" w:space="0" w:color="auto"/>
        <w:left w:val="none" w:sz="0" w:space="0" w:color="auto"/>
        <w:bottom w:val="none" w:sz="0" w:space="0" w:color="auto"/>
        <w:right w:val="none" w:sz="0" w:space="0" w:color="auto"/>
      </w:divBdr>
    </w:div>
    <w:div w:id="1201286156">
      <w:bodyDiv w:val="1"/>
      <w:marLeft w:val="0"/>
      <w:marRight w:val="0"/>
      <w:marTop w:val="0"/>
      <w:marBottom w:val="0"/>
      <w:divBdr>
        <w:top w:val="none" w:sz="0" w:space="0" w:color="auto"/>
        <w:left w:val="none" w:sz="0" w:space="0" w:color="auto"/>
        <w:bottom w:val="none" w:sz="0" w:space="0" w:color="auto"/>
        <w:right w:val="none" w:sz="0" w:space="0" w:color="auto"/>
      </w:divBdr>
    </w:div>
    <w:div w:id="1219173652">
      <w:bodyDiv w:val="1"/>
      <w:marLeft w:val="0"/>
      <w:marRight w:val="0"/>
      <w:marTop w:val="0"/>
      <w:marBottom w:val="0"/>
      <w:divBdr>
        <w:top w:val="none" w:sz="0" w:space="0" w:color="auto"/>
        <w:left w:val="none" w:sz="0" w:space="0" w:color="auto"/>
        <w:bottom w:val="none" w:sz="0" w:space="0" w:color="auto"/>
        <w:right w:val="none" w:sz="0" w:space="0" w:color="auto"/>
      </w:divBdr>
      <w:divsChild>
        <w:div w:id="991904150">
          <w:marLeft w:val="0"/>
          <w:marRight w:val="0"/>
          <w:marTop w:val="0"/>
          <w:marBottom w:val="0"/>
          <w:divBdr>
            <w:top w:val="none" w:sz="0" w:space="0" w:color="auto"/>
            <w:left w:val="none" w:sz="0" w:space="0" w:color="auto"/>
            <w:bottom w:val="none" w:sz="0" w:space="0" w:color="auto"/>
            <w:right w:val="none" w:sz="0" w:space="0" w:color="auto"/>
          </w:divBdr>
        </w:div>
        <w:div w:id="762262423">
          <w:marLeft w:val="0"/>
          <w:marRight w:val="0"/>
          <w:marTop w:val="0"/>
          <w:marBottom w:val="0"/>
          <w:divBdr>
            <w:top w:val="none" w:sz="0" w:space="0" w:color="auto"/>
            <w:left w:val="none" w:sz="0" w:space="0" w:color="auto"/>
            <w:bottom w:val="none" w:sz="0" w:space="0" w:color="auto"/>
            <w:right w:val="none" w:sz="0" w:space="0" w:color="auto"/>
          </w:divBdr>
        </w:div>
      </w:divsChild>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352680853">
      <w:bodyDiv w:val="1"/>
      <w:marLeft w:val="0"/>
      <w:marRight w:val="0"/>
      <w:marTop w:val="0"/>
      <w:marBottom w:val="0"/>
      <w:divBdr>
        <w:top w:val="none" w:sz="0" w:space="0" w:color="auto"/>
        <w:left w:val="none" w:sz="0" w:space="0" w:color="auto"/>
        <w:bottom w:val="none" w:sz="0" w:space="0" w:color="auto"/>
        <w:right w:val="none" w:sz="0" w:space="0" w:color="auto"/>
      </w:divBdr>
    </w:div>
    <w:div w:id="1408500340">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09054584">
      <w:bodyDiv w:val="1"/>
      <w:marLeft w:val="0"/>
      <w:marRight w:val="0"/>
      <w:marTop w:val="0"/>
      <w:marBottom w:val="0"/>
      <w:divBdr>
        <w:top w:val="none" w:sz="0" w:space="0" w:color="auto"/>
        <w:left w:val="none" w:sz="0" w:space="0" w:color="auto"/>
        <w:bottom w:val="none" w:sz="0" w:space="0" w:color="auto"/>
        <w:right w:val="none" w:sz="0" w:space="0" w:color="auto"/>
      </w:divBdr>
    </w:div>
    <w:div w:id="1531452816">
      <w:bodyDiv w:val="1"/>
      <w:marLeft w:val="0"/>
      <w:marRight w:val="0"/>
      <w:marTop w:val="0"/>
      <w:marBottom w:val="0"/>
      <w:divBdr>
        <w:top w:val="none" w:sz="0" w:space="0" w:color="auto"/>
        <w:left w:val="none" w:sz="0" w:space="0" w:color="auto"/>
        <w:bottom w:val="none" w:sz="0" w:space="0" w:color="auto"/>
        <w:right w:val="none" w:sz="0" w:space="0" w:color="auto"/>
      </w:divBdr>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679237314">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856338768">
      <w:bodyDiv w:val="1"/>
      <w:marLeft w:val="0"/>
      <w:marRight w:val="0"/>
      <w:marTop w:val="0"/>
      <w:marBottom w:val="0"/>
      <w:divBdr>
        <w:top w:val="none" w:sz="0" w:space="0" w:color="auto"/>
        <w:left w:val="none" w:sz="0" w:space="0" w:color="auto"/>
        <w:bottom w:val="none" w:sz="0" w:space="0" w:color="auto"/>
        <w:right w:val="none" w:sz="0" w:space="0" w:color="auto"/>
      </w:divBdr>
    </w:div>
    <w:div w:id="1899433012">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39215291">
      <w:bodyDiv w:val="1"/>
      <w:marLeft w:val="0"/>
      <w:marRight w:val="0"/>
      <w:marTop w:val="0"/>
      <w:marBottom w:val="0"/>
      <w:divBdr>
        <w:top w:val="none" w:sz="0" w:space="0" w:color="auto"/>
        <w:left w:val="none" w:sz="0" w:space="0" w:color="auto"/>
        <w:bottom w:val="none" w:sz="0" w:space="0" w:color="auto"/>
        <w:right w:val="none" w:sz="0" w:space="0" w:color="auto"/>
      </w:divBdr>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011716738">
      <w:bodyDiv w:val="1"/>
      <w:marLeft w:val="0"/>
      <w:marRight w:val="0"/>
      <w:marTop w:val="0"/>
      <w:marBottom w:val="0"/>
      <w:divBdr>
        <w:top w:val="none" w:sz="0" w:space="0" w:color="auto"/>
        <w:left w:val="none" w:sz="0" w:space="0" w:color="auto"/>
        <w:bottom w:val="none" w:sz="0" w:space="0" w:color="auto"/>
        <w:right w:val="none" w:sz="0" w:space="0" w:color="auto"/>
      </w:divBdr>
    </w:div>
    <w:div w:id="2074573257">
      <w:bodyDiv w:val="1"/>
      <w:marLeft w:val="0"/>
      <w:marRight w:val="0"/>
      <w:marTop w:val="0"/>
      <w:marBottom w:val="0"/>
      <w:divBdr>
        <w:top w:val="none" w:sz="0" w:space="0" w:color="auto"/>
        <w:left w:val="none" w:sz="0" w:space="0" w:color="auto"/>
        <w:bottom w:val="none" w:sz="0" w:space="0" w:color="auto"/>
        <w:right w:val="none" w:sz="0" w:space="0" w:color="auto"/>
      </w:divBdr>
    </w:div>
    <w:div w:id="2078549808">
      <w:bodyDiv w:val="1"/>
      <w:marLeft w:val="0"/>
      <w:marRight w:val="0"/>
      <w:marTop w:val="0"/>
      <w:marBottom w:val="0"/>
      <w:divBdr>
        <w:top w:val="none" w:sz="0" w:space="0" w:color="auto"/>
        <w:left w:val="none" w:sz="0" w:space="0" w:color="auto"/>
        <w:bottom w:val="none" w:sz="0" w:space="0" w:color="auto"/>
        <w:right w:val="none" w:sz="0" w:space="0" w:color="auto"/>
      </w:divBdr>
    </w:div>
    <w:div w:id="2119592498">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104B-A9A8-4258-B9F4-13A1D2CD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10712</Words>
  <Characters>61063</Characters>
  <Application>Microsoft Office Word</Application>
  <DocSecurity>0</DocSecurity>
  <Lines>508</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71632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Nebiye</cp:lastModifiedBy>
  <cp:revision>3</cp:revision>
  <cp:lastPrinted>2019-06-20T09:49:00Z</cp:lastPrinted>
  <dcterms:created xsi:type="dcterms:W3CDTF">2021-02-05T08:55:00Z</dcterms:created>
  <dcterms:modified xsi:type="dcterms:W3CDTF">2021-02-05T08:55:00Z</dcterms:modified>
</cp:coreProperties>
</file>