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0" w:type="dxa"/>
        <w:tblInd w:w="70" w:type="dxa"/>
        <w:tblCellMar>
          <w:left w:w="70" w:type="dxa"/>
          <w:right w:w="70" w:type="dxa"/>
        </w:tblCellMar>
        <w:tblLook w:val="04A0" w:firstRow="1" w:lastRow="0" w:firstColumn="1" w:lastColumn="0" w:noHBand="0" w:noVBand="1"/>
      </w:tblPr>
      <w:tblGrid>
        <w:gridCol w:w="828"/>
        <w:gridCol w:w="826"/>
        <w:gridCol w:w="826"/>
        <w:gridCol w:w="958"/>
        <w:gridCol w:w="958"/>
        <w:gridCol w:w="958"/>
        <w:gridCol w:w="958"/>
        <w:gridCol w:w="958"/>
        <w:gridCol w:w="958"/>
        <w:gridCol w:w="958"/>
        <w:gridCol w:w="958"/>
      </w:tblGrid>
      <w:tr w:rsidR="00311706" w:rsidRPr="00311706" w:rsidTr="00311706">
        <w:trPr>
          <w:trHeight w:val="300"/>
        </w:trPr>
        <w:tc>
          <w:tcPr>
            <w:tcW w:w="2356" w:type="dxa"/>
            <w:gridSpan w:val="3"/>
            <w:vMerge w:val="restart"/>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r>
              <w:rPr>
                <w:rFonts w:ascii="Calibri" w:hAnsi="Calibri" w:cs="Calibri"/>
                <w:noProof/>
                <w:color w:val="000000"/>
                <w:lang w:val="tr-TR" w:eastAsia="tr-TR"/>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495425" cy="1495425"/>
                  <wp:effectExtent l="0" t="0" r="0" b="0"/>
                  <wp:wrapNone/>
                  <wp:docPr id="3" name="Resim 3"/>
                  <wp:cNvGraphicFramePr/>
                  <a:graphic xmlns:a="http://schemas.openxmlformats.org/drawingml/2006/main">
                    <a:graphicData uri="http://schemas.openxmlformats.org/drawingml/2006/picture">
                      <pic:pic xmlns:pic="http://schemas.openxmlformats.org/drawingml/2006/picture">
                        <pic:nvPicPr>
                          <pic:cNvPr id="2" name="Resim 1"/>
                          <pic:cNvPicPr/>
                        </pic:nvPicPr>
                        <pic:blipFill>
                          <a:blip r:embed="rId8">
                            <a:extLst>
                              <a:ext uri="{28A0092B-C50C-407E-A947-70E740481C1C}">
                                <a14:useLocalDpi xmlns:a14="http://schemas.microsoft.com/office/drawing/2010/main" val="0"/>
                              </a:ext>
                            </a:extLst>
                          </a:blip>
                          <a:stretch>
                            <a:fillRect/>
                          </a:stretch>
                        </pic:blipFill>
                        <pic:spPr>
                          <a:xfrm>
                            <a:off x="0" y="0"/>
                            <a:ext cx="1490980" cy="14954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340"/>
            </w:tblGrid>
            <w:tr w:rsidR="00311706" w:rsidRPr="00311706">
              <w:trPr>
                <w:trHeight w:val="269"/>
                <w:tblCellSpacing w:w="0" w:type="dxa"/>
              </w:trPr>
              <w:tc>
                <w:tcPr>
                  <w:tcW w:w="2340" w:type="dxa"/>
                  <w:vMerge w:val="restart"/>
                  <w:tcBorders>
                    <w:top w:val="nil"/>
                    <w:left w:val="nil"/>
                    <w:bottom w:val="nil"/>
                    <w:right w:val="nil"/>
                  </w:tcBorders>
                  <w:shd w:val="clear" w:color="auto" w:fill="auto"/>
                  <w:noWrap/>
                  <w:vAlign w:val="bottom"/>
                  <w:hideMark/>
                </w:tcPr>
                <w:p w:rsidR="00311706" w:rsidRPr="00311706" w:rsidRDefault="00311706" w:rsidP="00311706">
                  <w:pPr>
                    <w:widowControl/>
                    <w:jc w:val="center"/>
                    <w:rPr>
                      <w:rFonts w:ascii="Calibri" w:hAnsi="Calibri" w:cs="Calibri"/>
                      <w:color w:val="000000"/>
                      <w:lang w:val="tr-TR" w:eastAsia="tr-TR"/>
                    </w:rPr>
                  </w:pPr>
                </w:p>
              </w:tc>
            </w:tr>
            <w:tr w:rsidR="00311706" w:rsidRPr="00311706">
              <w:trPr>
                <w:trHeight w:val="269"/>
                <w:tblCellSpacing w:w="0" w:type="dxa"/>
              </w:trPr>
              <w:tc>
                <w:tcPr>
                  <w:tcW w:w="0" w:type="auto"/>
                  <w:vMerge/>
                  <w:tcBorders>
                    <w:top w:val="nil"/>
                    <w:left w:val="nil"/>
                    <w:bottom w:val="nil"/>
                    <w:right w:val="nil"/>
                  </w:tcBorders>
                  <w:vAlign w:val="center"/>
                  <w:hideMark/>
                </w:tcPr>
                <w:p w:rsidR="00311706" w:rsidRPr="00311706" w:rsidRDefault="00311706" w:rsidP="00311706">
                  <w:pPr>
                    <w:widowControl/>
                    <w:rPr>
                      <w:rFonts w:ascii="Calibri" w:hAnsi="Calibri" w:cs="Calibri"/>
                      <w:color w:val="000000"/>
                      <w:lang w:val="tr-TR" w:eastAsia="tr-TR"/>
                    </w:rPr>
                  </w:pPr>
                </w:p>
              </w:tc>
            </w:tr>
          </w:tbl>
          <w:p w:rsidR="00311706" w:rsidRPr="00311706" w:rsidRDefault="00311706" w:rsidP="00311706">
            <w:pPr>
              <w:widowControl/>
              <w:rPr>
                <w:rFonts w:ascii="Calibri" w:hAnsi="Calibri" w:cs="Calibri"/>
                <w:color w:val="000000"/>
                <w:lang w:val="tr-TR" w:eastAsia="tr-TR"/>
              </w:rPr>
            </w:pPr>
          </w:p>
        </w:tc>
        <w:tc>
          <w:tcPr>
            <w:tcW w:w="7664" w:type="dxa"/>
            <w:gridSpan w:val="8"/>
            <w:vMerge w:val="restart"/>
            <w:tcBorders>
              <w:top w:val="nil"/>
              <w:left w:val="nil"/>
              <w:bottom w:val="nil"/>
              <w:right w:val="nil"/>
            </w:tcBorders>
            <w:shd w:val="clear" w:color="auto" w:fill="auto"/>
            <w:vAlign w:val="bottom"/>
            <w:hideMark/>
          </w:tcPr>
          <w:p w:rsidR="00311706" w:rsidRPr="00311706" w:rsidRDefault="00311706" w:rsidP="00311706">
            <w:pPr>
              <w:widowControl/>
              <w:jc w:val="center"/>
              <w:rPr>
                <w:b/>
                <w:bCs/>
                <w:color w:val="000000"/>
                <w:sz w:val="32"/>
                <w:szCs w:val="32"/>
                <w:lang w:val="tr-TR" w:eastAsia="tr-TR"/>
              </w:rPr>
            </w:pPr>
            <w:r w:rsidRPr="00311706">
              <w:rPr>
                <w:b/>
                <w:bCs/>
                <w:color w:val="000000"/>
                <w:sz w:val="36"/>
                <w:szCs w:val="32"/>
                <w:lang w:val="tr-TR" w:eastAsia="tr-TR"/>
              </w:rPr>
              <w:t xml:space="preserve">KIBRIS SOSYAL BİLİMLER ÜNİVERSİTESİ </w:t>
            </w:r>
            <w:r w:rsidRPr="00311706">
              <w:rPr>
                <w:b/>
                <w:bCs/>
                <w:color w:val="000000"/>
                <w:sz w:val="36"/>
                <w:szCs w:val="32"/>
                <w:lang w:val="tr-TR" w:eastAsia="tr-TR"/>
              </w:rPr>
              <w:br/>
              <w:t>DERS MUAFİYETİ VE İNTİBAK İŞLEMLERİ UYGULAMA ESASLARI</w:t>
            </w:r>
          </w:p>
        </w:tc>
      </w:tr>
      <w:tr w:rsidR="00311706" w:rsidRPr="00311706" w:rsidTr="00311706">
        <w:trPr>
          <w:trHeight w:val="300"/>
        </w:trPr>
        <w:tc>
          <w:tcPr>
            <w:tcW w:w="2356" w:type="dxa"/>
            <w:gridSpan w:val="3"/>
            <w:vMerge/>
            <w:tcBorders>
              <w:top w:val="nil"/>
              <w:left w:val="nil"/>
              <w:bottom w:val="nil"/>
              <w:right w:val="nil"/>
            </w:tcBorders>
            <w:vAlign w:val="center"/>
            <w:hideMark/>
          </w:tcPr>
          <w:p w:rsidR="00311706" w:rsidRPr="00311706" w:rsidRDefault="00311706" w:rsidP="00311706">
            <w:pPr>
              <w:widowControl/>
              <w:rPr>
                <w:rFonts w:ascii="Calibri" w:hAnsi="Calibri" w:cs="Calibri"/>
                <w:color w:val="000000"/>
                <w:lang w:val="tr-TR" w:eastAsia="tr-TR"/>
              </w:rPr>
            </w:pPr>
          </w:p>
        </w:tc>
        <w:tc>
          <w:tcPr>
            <w:tcW w:w="7664" w:type="dxa"/>
            <w:gridSpan w:val="8"/>
            <w:vMerge/>
            <w:tcBorders>
              <w:top w:val="nil"/>
              <w:left w:val="nil"/>
              <w:bottom w:val="nil"/>
              <w:right w:val="nil"/>
            </w:tcBorders>
            <w:vAlign w:val="center"/>
            <w:hideMark/>
          </w:tcPr>
          <w:p w:rsidR="00311706" w:rsidRPr="00311706" w:rsidRDefault="00311706" w:rsidP="00311706">
            <w:pPr>
              <w:widowControl/>
              <w:rPr>
                <w:b/>
                <w:bCs/>
                <w:color w:val="000000"/>
                <w:sz w:val="32"/>
                <w:szCs w:val="32"/>
                <w:lang w:val="tr-TR" w:eastAsia="tr-TR"/>
              </w:rPr>
            </w:pPr>
          </w:p>
        </w:tc>
      </w:tr>
      <w:tr w:rsidR="00311706" w:rsidRPr="00311706" w:rsidTr="00311706">
        <w:trPr>
          <w:trHeight w:val="300"/>
        </w:trPr>
        <w:tc>
          <w:tcPr>
            <w:tcW w:w="2356" w:type="dxa"/>
            <w:gridSpan w:val="3"/>
            <w:vMerge/>
            <w:tcBorders>
              <w:top w:val="nil"/>
              <w:left w:val="nil"/>
              <w:bottom w:val="nil"/>
              <w:right w:val="nil"/>
            </w:tcBorders>
            <w:vAlign w:val="center"/>
            <w:hideMark/>
          </w:tcPr>
          <w:p w:rsidR="00311706" w:rsidRPr="00311706" w:rsidRDefault="00311706" w:rsidP="00311706">
            <w:pPr>
              <w:widowControl/>
              <w:rPr>
                <w:rFonts w:ascii="Calibri" w:hAnsi="Calibri" w:cs="Calibri"/>
                <w:color w:val="000000"/>
                <w:lang w:val="tr-TR" w:eastAsia="tr-TR"/>
              </w:rPr>
            </w:pPr>
          </w:p>
        </w:tc>
        <w:tc>
          <w:tcPr>
            <w:tcW w:w="7664" w:type="dxa"/>
            <w:gridSpan w:val="8"/>
            <w:vMerge/>
            <w:tcBorders>
              <w:top w:val="nil"/>
              <w:left w:val="nil"/>
              <w:bottom w:val="nil"/>
              <w:right w:val="nil"/>
            </w:tcBorders>
            <w:vAlign w:val="center"/>
            <w:hideMark/>
          </w:tcPr>
          <w:p w:rsidR="00311706" w:rsidRPr="00311706" w:rsidRDefault="00311706" w:rsidP="00311706">
            <w:pPr>
              <w:widowControl/>
              <w:rPr>
                <w:b/>
                <w:bCs/>
                <w:color w:val="000000"/>
                <w:sz w:val="32"/>
                <w:szCs w:val="32"/>
                <w:lang w:val="tr-TR" w:eastAsia="tr-TR"/>
              </w:rPr>
            </w:pPr>
          </w:p>
        </w:tc>
      </w:tr>
      <w:tr w:rsidR="00311706" w:rsidRPr="00311706" w:rsidTr="00311706">
        <w:trPr>
          <w:trHeight w:val="300"/>
        </w:trPr>
        <w:tc>
          <w:tcPr>
            <w:tcW w:w="2356" w:type="dxa"/>
            <w:gridSpan w:val="3"/>
            <w:vMerge/>
            <w:tcBorders>
              <w:top w:val="nil"/>
              <w:left w:val="nil"/>
              <w:bottom w:val="nil"/>
              <w:right w:val="nil"/>
            </w:tcBorders>
            <w:vAlign w:val="center"/>
            <w:hideMark/>
          </w:tcPr>
          <w:p w:rsidR="00311706" w:rsidRPr="00311706" w:rsidRDefault="00311706" w:rsidP="00311706">
            <w:pPr>
              <w:widowControl/>
              <w:rPr>
                <w:rFonts w:ascii="Calibri" w:hAnsi="Calibri" w:cs="Calibri"/>
                <w:color w:val="000000"/>
                <w:lang w:val="tr-TR" w:eastAsia="tr-TR"/>
              </w:rPr>
            </w:pPr>
          </w:p>
        </w:tc>
        <w:tc>
          <w:tcPr>
            <w:tcW w:w="7664" w:type="dxa"/>
            <w:gridSpan w:val="8"/>
            <w:vMerge/>
            <w:tcBorders>
              <w:top w:val="nil"/>
              <w:left w:val="nil"/>
              <w:bottom w:val="nil"/>
              <w:right w:val="nil"/>
            </w:tcBorders>
            <w:vAlign w:val="center"/>
            <w:hideMark/>
          </w:tcPr>
          <w:p w:rsidR="00311706" w:rsidRPr="00311706" w:rsidRDefault="00311706" w:rsidP="00311706">
            <w:pPr>
              <w:widowControl/>
              <w:rPr>
                <w:b/>
                <w:bCs/>
                <w:color w:val="000000"/>
                <w:sz w:val="32"/>
                <w:szCs w:val="32"/>
                <w:lang w:val="tr-TR" w:eastAsia="tr-TR"/>
              </w:rPr>
            </w:pPr>
          </w:p>
        </w:tc>
      </w:tr>
      <w:tr w:rsidR="00311706" w:rsidRPr="00311706" w:rsidTr="00311706">
        <w:trPr>
          <w:trHeight w:val="300"/>
        </w:trPr>
        <w:tc>
          <w:tcPr>
            <w:tcW w:w="2356" w:type="dxa"/>
            <w:gridSpan w:val="3"/>
            <w:vMerge/>
            <w:tcBorders>
              <w:top w:val="nil"/>
              <w:left w:val="nil"/>
              <w:bottom w:val="nil"/>
              <w:right w:val="nil"/>
            </w:tcBorders>
            <w:vAlign w:val="center"/>
            <w:hideMark/>
          </w:tcPr>
          <w:p w:rsidR="00311706" w:rsidRPr="00311706" w:rsidRDefault="00311706" w:rsidP="00311706">
            <w:pPr>
              <w:widowControl/>
              <w:rPr>
                <w:rFonts w:ascii="Calibri" w:hAnsi="Calibri" w:cs="Calibri"/>
                <w:color w:val="000000"/>
                <w:lang w:val="tr-TR" w:eastAsia="tr-TR"/>
              </w:rPr>
            </w:pPr>
          </w:p>
        </w:tc>
        <w:tc>
          <w:tcPr>
            <w:tcW w:w="7664" w:type="dxa"/>
            <w:gridSpan w:val="8"/>
            <w:vMerge/>
            <w:tcBorders>
              <w:top w:val="nil"/>
              <w:left w:val="nil"/>
              <w:bottom w:val="nil"/>
              <w:right w:val="nil"/>
            </w:tcBorders>
            <w:vAlign w:val="center"/>
            <w:hideMark/>
          </w:tcPr>
          <w:p w:rsidR="00311706" w:rsidRPr="00311706" w:rsidRDefault="00311706" w:rsidP="00311706">
            <w:pPr>
              <w:widowControl/>
              <w:rPr>
                <w:b/>
                <w:bCs/>
                <w:color w:val="000000"/>
                <w:sz w:val="32"/>
                <w:szCs w:val="32"/>
                <w:lang w:val="tr-TR" w:eastAsia="tr-TR"/>
              </w:rPr>
            </w:pPr>
          </w:p>
        </w:tc>
      </w:tr>
      <w:tr w:rsidR="00311706" w:rsidRPr="00311706" w:rsidTr="00311706">
        <w:trPr>
          <w:trHeight w:val="300"/>
        </w:trPr>
        <w:tc>
          <w:tcPr>
            <w:tcW w:w="2356" w:type="dxa"/>
            <w:gridSpan w:val="3"/>
            <w:vMerge/>
            <w:tcBorders>
              <w:top w:val="nil"/>
              <w:left w:val="nil"/>
              <w:bottom w:val="nil"/>
              <w:right w:val="nil"/>
            </w:tcBorders>
            <w:vAlign w:val="center"/>
            <w:hideMark/>
          </w:tcPr>
          <w:p w:rsidR="00311706" w:rsidRPr="00311706" w:rsidRDefault="00311706" w:rsidP="00311706">
            <w:pPr>
              <w:widowControl/>
              <w:rPr>
                <w:rFonts w:ascii="Calibri" w:hAnsi="Calibri" w:cs="Calibri"/>
                <w:color w:val="000000"/>
                <w:lang w:val="tr-TR" w:eastAsia="tr-TR"/>
              </w:rPr>
            </w:pPr>
          </w:p>
        </w:tc>
        <w:tc>
          <w:tcPr>
            <w:tcW w:w="7664" w:type="dxa"/>
            <w:gridSpan w:val="8"/>
            <w:vMerge/>
            <w:tcBorders>
              <w:top w:val="nil"/>
              <w:left w:val="nil"/>
              <w:bottom w:val="nil"/>
              <w:right w:val="nil"/>
            </w:tcBorders>
            <w:vAlign w:val="center"/>
            <w:hideMark/>
          </w:tcPr>
          <w:p w:rsidR="00311706" w:rsidRPr="00311706" w:rsidRDefault="00311706" w:rsidP="00311706">
            <w:pPr>
              <w:widowControl/>
              <w:rPr>
                <w:b/>
                <w:bCs/>
                <w:color w:val="000000"/>
                <w:sz w:val="32"/>
                <w:szCs w:val="32"/>
                <w:lang w:val="tr-TR" w:eastAsia="tr-TR"/>
              </w:rPr>
            </w:pPr>
          </w:p>
        </w:tc>
      </w:tr>
      <w:tr w:rsidR="00311706" w:rsidRPr="00311706" w:rsidTr="00311706">
        <w:trPr>
          <w:trHeight w:val="300"/>
        </w:trPr>
        <w:tc>
          <w:tcPr>
            <w:tcW w:w="786"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785"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785"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7664" w:type="dxa"/>
            <w:gridSpan w:val="8"/>
            <w:vMerge/>
            <w:tcBorders>
              <w:top w:val="nil"/>
              <w:left w:val="nil"/>
              <w:bottom w:val="nil"/>
              <w:right w:val="nil"/>
            </w:tcBorders>
            <w:vAlign w:val="center"/>
            <w:hideMark/>
          </w:tcPr>
          <w:p w:rsidR="00311706" w:rsidRPr="00311706" w:rsidRDefault="00311706" w:rsidP="00311706">
            <w:pPr>
              <w:widowControl/>
              <w:rPr>
                <w:b/>
                <w:bCs/>
                <w:color w:val="000000"/>
                <w:sz w:val="32"/>
                <w:szCs w:val="32"/>
                <w:lang w:val="tr-TR" w:eastAsia="tr-TR"/>
              </w:rPr>
            </w:pPr>
          </w:p>
        </w:tc>
      </w:tr>
      <w:tr w:rsidR="00311706" w:rsidRPr="00311706" w:rsidTr="00311706">
        <w:trPr>
          <w:trHeight w:val="300"/>
        </w:trPr>
        <w:tc>
          <w:tcPr>
            <w:tcW w:w="786"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785"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785"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r>
      <w:tr w:rsidR="00311706" w:rsidRPr="00311706" w:rsidTr="00311706">
        <w:trPr>
          <w:trHeight w:val="300"/>
        </w:trPr>
        <w:tc>
          <w:tcPr>
            <w:tcW w:w="786"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785"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785"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r>
      <w:tr w:rsidR="00311706" w:rsidRPr="00311706" w:rsidTr="00311706">
        <w:trPr>
          <w:trHeight w:val="300"/>
        </w:trPr>
        <w:tc>
          <w:tcPr>
            <w:tcW w:w="786"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785"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785"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c>
          <w:tcPr>
            <w:tcW w:w="958" w:type="dxa"/>
            <w:tcBorders>
              <w:top w:val="nil"/>
              <w:left w:val="nil"/>
              <w:bottom w:val="nil"/>
              <w:right w:val="nil"/>
            </w:tcBorders>
            <w:shd w:val="clear" w:color="auto" w:fill="auto"/>
            <w:noWrap/>
            <w:vAlign w:val="bottom"/>
            <w:hideMark/>
          </w:tcPr>
          <w:p w:rsidR="00311706" w:rsidRPr="00311706" w:rsidRDefault="00311706" w:rsidP="00311706">
            <w:pPr>
              <w:widowControl/>
              <w:rPr>
                <w:rFonts w:ascii="Calibri" w:hAnsi="Calibri" w:cs="Calibri"/>
                <w:color w:val="000000"/>
                <w:lang w:val="tr-TR" w:eastAsia="tr-TR"/>
              </w:rPr>
            </w:pPr>
          </w:p>
        </w:tc>
      </w:tr>
    </w:tbl>
    <w:p w:rsidR="00D37020" w:rsidRPr="00311706" w:rsidRDefault="00D37020" w:rsidP="00D37020">
      <w:pPr>
        <w:pStyle w:val="Default"/>
        <w:rPr>
          <w:b/>
          <w:bCs/>
          <w:sz w:val="40"/>
          <w:szCs w:val="40"/>
        </w:rPr>
      </w:pPr>
      <w:bookmarkStart w:id="0" w:name="_GoBack"/>
      <w:bookmarkEnd w:id="0"/>
    </w:p>
    <w:p w:rsidR="00D37020" w:rsidRDefault="00D37020" w:rsidP="00D37020">
      <w:pPr>
        <w:pStyle w:val="Default"/>
        <w:spacing w:after="302"/>
        <w:jc w:val="both"/>
        <w:rPr>
          <w:sz w:val="23"/>
          <w:szCs w:val="23"/>
        </w:rPr>
      </w:pPr>
      <w:r w:rsidRPr="00D37020">
        <w:rPr>
          <w:b/>
          <w:bCs/>
          <w:sz w:val="26"/>
          <w:szCs w:val="26"/>
        </w:rPr>
        <w:t>1-</w:t>
      </w:r>
      <w:r>
        <w:rPr>
          <w:b/>
          <w:bCs/>
          <w:sz w:val="32"/>
          <w:szCs w:val="32"/>
        </w:rPr>
        <w:t xml:space="preserve"> </w:t>
      </w:r>
      <w:r w:rsidRPr="00D37020">
        <w:rPr>
          <w:szCs w:val="23"/>
        </w:rPr>
        <w:t xml:space="preserve">Bu uygulama esaslarının amacı; Kıbrıs Sosyal Bilimler Üniversitesine kayıt hakkı kazanan </w:t>
      </w:r>
      <w:r w:rsidR="006A5A6A">
        <w:rPr>
          <w:szCs w:val="23"/>
        </w:rPr>
        <w:t>ön lisans</w:t>
      </w:r>
      <w:r w:rsidRPr="00D37020">
        <w:rPr>
          <w:szCs w:val="23"/>
        </w:rPr>
        <w:t xml:space="preserve"> ve lisans öğrencilerinin daha önce yurtiçi ve yurtdışı yükseköğretim kurumlarının </w:t>
      </w:r>
      <w:r w:rsidR="006A5A6A">
        <w:rPr>
          <w:szCs w:val="23"/>
        </w:rPr>
        <w:t>ön lisans</w:t>
      </w:r>
      <w:r w:rsidRPr="00D37020">
        <w:rPr>
          <w:szCs w:val="23"/>
        </w:rPr>
        <w:t xml:space="preserve"> ve lisans düzeyinde eğitim veren programlarında almış ve başarıyla tamamlamış oldukları derslerden muaf olmak ve yarıyıl/yıl intibak esaslarını belirlemektir. </w:t>
      </w:r>
    </w:p>
    <w:p w:rsidR="00D37020" w:rsidRPr="00D37020" w:rsidRDefault="00D37020" w:rsidP="00D37020">
      <w:pPr>
        <w:pStyle w:val="Default"/>
        <w:spacing w:after="302"/>
        <w:jc w:val="both"/>
        <w:rPr>
          <w:szCs w:val="23"/>
        </w:rPr>
      </w:pPr>
      <w:r w:rsidRPr="00D37020">
        <w:rPr>
          <w:b/>
          <w:bCs/>
          <w:sz w:val="26"/>
          <w:szCs w:val="26"/>
        </w:rPr>
        <w:t>2-</w:t>
      </w:r>
      <w:r>
        <w:rPr>
          <w:b/>
          <w:bCs/>
          <w:sz w:val="32"/>
          <w:szCs w:val="32"/>
        </w:rPr>
        <w:t xml:space="preserve"> </w:t>
      </w:r>
      <w:r w:rsidRPr="00D37020">
        <w:rPr>
          <w:szCs w:val="23"/>
        </w:rPr>
        <w:t>Bu uygulama esasları; Kıbrıs Sosyal Bilimler Üniversitesi lisans</w:t>
      </w:r>
      <w:r w:rsidR="006A5A6A">
        <w:rPr>
          <w:szCs w:val="23"/>
        </w:rPr>
        <w:t>/ön lisans</w:t>
      </w:r>
      <w:r w:rsidRPr="00D37020">
        <w:rPr>
          <w:szCs w:val="23"/>
        </w:rPr>
        <w:t xml:space="preserve"> programlarına kayıtlı olanlar ile birlikte aşağıda belirtilen özelliklere sahip öğrencilerin durumlarını düzenler</w:t>
      </w:r>
      <w:r>
        <w:rPr>
          <w:szCs w:val="23"/>
        </w:rPr>
        <w:t>.</w:t>
      </w:r>
      <w:r w:rsidRPr="00D37020">
        <w:rPr>
          <w:szCs w:val="23"/>
        </w:rPr>
        <w:t xml:space="preserve"> </w:t>
      </w:r>
    </w:p>
    <w:p w:rsidR="00D37020" w:rsidRPr="00D37020" w:rsidRDefault="00D37020" w:rsidP="00D773C1">
      <w:pPr>
        <w:pStyle w:val="Default"/>
        <w:jc w:val="both"/>
        <w:rPr>
          <w:szCs w:val="23"/>
        </w:rPr>
      </w:pPr>
      <w:r w:rsidRPr="00D37020">
        <w:rPr>
          <w:b/>
          <w:bCs/>
          <w:szCs w:val="23"/>
        </w:rPr>
        <w:t xml:space="preserve">a) </w:t>
      </w:r>
      <w:r w:rsidRPr="00D37020">
        <w:rPr>
          <w:szCs w:val="23"/>
        </w:rPr>
        <w:t xml:space="preserve">Yatay geçiş yoluyla kayıt yaptıranlar, </w:t>
      </w:r>
    </w:p>
    <w:p w:rsidR="00D37020" w:rsidRPr="00D37020" w:rsidRDefault="00D37020" w:rsidP="00D37020">
      <w:pPr>
        <w:pStyle w:val="Default"/>
        <w:jc w:val="both"/>
        <w:rPr>
          <w:szCs w:val="23"/>
        </w:rPr>
      </w:pPr>
    </w:p>
    <w:p w:rsidR="00D37020" w:rsidRPr="00D37020" w:rsidRDefault="00D37020" w:rsidP="00D773C1">
      <w:pPr>
        <w:pStyle w:val="Default"/>
        <w:jc w:val="both"/>
        <w:rPr>
          <w:szCs w:val="23"/>
        </w:rPr>
      </w:pPr>
      <w:r w:rsidRPr="00D37020">
        <w:rPr>
          <w:b/>
          <w:bCs/>
          <w:szCs w:val="23"/>
        </w:rPr>
        <w:t xml:space="preserve">b) </w:t>
      </w:r>
      <w:r w:rsidRPr="00D37020">
        <w:rPr>
          <w:szCs w:val="23"/>
        </w:rPr>
        <w:t xml:space="preserve">Dikey geçiş yoluyla kayıt yaptıranlar, </w:t>
      </w:r>
    </w:p>
    <w:p w:rsidR="00D37020" w:rsidRPr="00D37020" w:rsidRDefault="00D37020" w:rsidP="00D37020">
      <w:pPr>
        <w:pStyle w:val="Default"/>
        <w:jc w:val="both"/>
        <w:rPr>
          <w:szCs w:val="23"/>
        </w:rPr>
      </w:pPr>
    </w:p>
    <w:p w:rsidR="00D37020" w:rsidRPr="00D37020" w:rsidRDefault="00D37020" w:rsidP="00D773C1">
      <w:pPr>
        <w:pStyle w:val="Default"/>
        <w:jc w:val="both"/>
        <w:rPr>
          <w:szCs w:val="23"/>
        </w:rPr>
      </w:pPr>
      <w:r w:rsidRPr="00D37020">
        <w:rPr>
          <w:b/>
          <w:bCs/>
          <w:szCs w:val="23"/>
        </w:rPr>
        <w:t xml:space="preserve">c) </w:t>
      </w:r>
      <w:r w:rsidRPr="00D37020">
        <w:rPr>
          <w:szCs w:val="23"/>
        </w:rPr>
        <w:t>Baş</w:t>
      </w:r>
      <w:r>
        <w:rPr>
          <w:szCs w:val="23"/>
        </w:rPr>
        <w:t xml:space="preserve">ka </w:t>
      </w:r>
      <w:r w:rsidR="006A5A6A">
        <w:rPr>
          <w:szCs w:val="23"/>
        </w:rPr>
        <w:t>ön lisans</w:t>
      </w:r>
      <w:r w:rsidRPr="00D37020">
        <w:rPr>
          <w:szCs w:val="23"/>
        </w:rPr>
        <w:t xml:space="preserve"> ve lisans programlarından mezun olup ikinci üniversite eğitimine devam edenler, </w:t>
      </w:r>
    </w:p>
    <w:p w:rsidR="00D773C1" w:rsidRPr="00D37020" w:rsidRDefault="00D773C1" w:rsidP="00D37020">
      <w:pPr>
        <w:pStyle w:val="Default"/>
        <w:jc w:val="both"/>
        <w:rPr>
          <w:szCs w:val="23"/>
        </w:rPr>
      </w:pPr>
    </w:p>
    <w:p w:rsidR="00D37020" w:rsidRPr="00D37020" w:rsidRDefault="00D37020" w:rsidP="00D773C1">
      <w:pPr>
        <w:pStyle w:val="Default"/>
        <w:jc w:val="both"/>
        <w:rPr>
          <w:szCs w:val="23"/>
        </w:rPr>
      </w:pPr>
      <w:r w:rsidRPr="00D37020">
        <w:rPr>
          <w:b/>
          <w:bCs/>
          <w:szCs w:val="23"/>
        </w:rPr>
        <w:t xml:space="preserve">ç) </w:t>
      </w:r>
      <w:r w:rsidRPr="00D37020">
        <w:rPr>
          <w:szCs w:val="23"/>
        </w:rPr>
        <w:t>Baş</w:t>
      </w:r>
      <w:r>
        <w:rPr>
          <w:szCs w:val="23"/>
        </w:rPr>
        <w:t xml:space="preserve">ka </w:t>
      </w:r>
      <w:r w:rsidR="006A5A6A">
        <w:rPr>
          <w:szCs w:val="23"/>
        </w:rPr>
        <w:t>ön lisans</w:t>
      </w:r>
      <w:r w:rsidRPr="00D37020">
        <w:rPr>
          <w:szCs w:val="23"/>
        </w:rPr>
        <w:t xml:space="preserve"> ve lisans programlarına devam ederek mezun olmadan yeni bir programa yerleşmiş olanlar, </w:t>
      </w:r>
    </w:p>
    <w:p w:rsidR="00D37020" w:rsidRPr="00D37020" w:rsidRDefault="00D37020" w:rsidP="00D37020">
      <w:pPr>
        <w:pStyle w:val="Default"/>
        <w:ind w:firstLine="720"/>
        <w:jc w:val="both"/>
        <w:rPr>
          <w:szCs w:val="23"/>
        </w:rPr>
      </w:pPr>
    </w:p>
    <w:p w:rsidR="00D37020" w:rsidRPr="00D37020" w:rsidRDefault="00D37020" w:rsidP="00D773C1">
      <w:pPr>
        <w:pStyle w:val="Default"/>
        <w:spacing w:after="270"/>
        <w:jc w:val="both"/>
        <w:rPr>
          <w:szCs w:val="23"/>
        </w:rPr>
      </w:pPr>
      <w:r w:rsidRPr="00D37020">
        <w:rPr>
          <w:b/>
          <w:bCs/>
          <w:szCs w:val="23"/>
        </w:rPr>
        <w:t xml:space="preserve">d) </w:t>
      </w:r>
      <w:r w:rsidRPr="00D37020">
        <w:rPr>
          <w:szCs w:val="23"/>
        </w:rPr>
        <w:t>Değişim programları kapsamında öğrenimlerinin bir bölümünü başka bir yurtiçi/yurtdışı yükseköğretim kurumunda yapan öğ</w:t>
      </w:r>
      <w:r>
        <w:rPr>
          <w:szCs w:val="23"/>
        </w:rPr>
        <w:t>renciler</w:t>
      </w:r>
      <w:r w:rsidRPr="00D37020">
        <w:rPr>
          <w:szCs w:val="23"/>
        </w:rPr>
        <w:t xml:space="preserve">, </w:t>
      </w:r>
    </w:p>
    <w:p w:rsidR="00D37020" w:rsidRPr="00D37020" w:rsidRDefault="00D37020" w:rsidP="00D773C1">
      <w:pPr>
        <w:pStyle w:val="Default"/>
        <w:spacing w:after="270"/>
        <w:jc w:val="both"/>
        <w:rPr>
          <w:szCs w:val="23"/>
        </w:rPr>
      </w:pPr>
      <w:r w:rsidRPr="00D37020">
        <w:rPr>
          <w:b/>
          <w:bCs/>
          <w:szCs w:val="23"/>
        </w:rPr>
        <w:t xml:space="preserve">e) </w:t>
      </w:r>
      <w:r w:rsidRPr="00D37020">
        <w:rPr>
          <w:szCs w:val="23"/>
        </w:rPr>
        <w:t>Özel öğrenci statüsünde, yaz okulu kapsamında başka bir yurtiçi/yurtdışı yükseköğretim kurumundan ders alan öğ</w:t>
      </w:r>
      <w:r>
        <w:rPr>
          <w:szCs w:val="23"/>
        </w:rPr>
        <w:t>renciler</w:t>
      </w:r>
      <w:r w:rsidRPr="00D37020">
        <w:rPr>
          <w:szCs w:val="23"/>
        </w:rPr>
        <w:t xml:space="preserve">, </w:t>
      </w:r>
    </w:p>
    <w:p w:rsidR="00D37020" w:rsidRPr="00D37020" w:rsidRDefault="00D37020" w:rsidP="00D773C1">
      <w:pPr>
        <w:pStyle w:val="Default"/>
        <w:spacing w:after="270"/>
        <w:jc w:val="both"/>
        <w:rPr>
          <w:szCs w:val="23"/>
        </w:rPr>
      </w:pPr>
      <w:r w:rsidRPr="00D37020">
        <w:rPr>
          <w:b/>
          <w:bCs/>
          <w:szCs w:val="23"/>
        </w:rPr>
        <w:t xml:space="preserve">f) </w:t>
      </w:r>
      <w:r w:rsidRPr="00D37020">
        <w:rPr>
          <w:szCs w:val="23"/>
        </w:rPr>
        <w:t xml:space="preserve">Yükseköğretim kurumlarının veya diğer eğitim kurum ve kuruluşlarının tertiplemiş olduğu kurs, sertifika programı vb. tamamlayarak, bununla ilgili onaylı belgeye sahip olanlar. </w:t>
      </w:r>
    </w:p>
    <w:p w:rsidR="00D37020" w:rsidRPr="00D37020" w:rsidRDefault="00D37020" w:rsidP="00D37020">
      <w:pPr>
        <w:pStyle w:val="Default"/>
        <w:spacing w:after="270"/>
        <w:jc w:val="both"/>
        <w:rPr>
          <w:szCs w:val="23"/>
        </w:rPr>
      </w:pPr>
      <w:r w:rsidRPr="00D37020">
        <w:rPr>
          <w:b/>
          <w:bCs/>
          <w:sz w:val="26"/>
          <w:szCs w:val="26"/>
        </w:rPr>
        <w:t>3-</w:t>
      </w:r>
      <w:r>
        <w:rPr>
          <w:b/>
          <w:bCs/>
          <w:sz w:val="32"/>
          <w:szCs w:val="32"/>
        </w:rPr>
        <w:t xml:space="preserve"> </w:t>
      </w:r>
      <w:r w:rsidRPr="00D37020">
        <w:rPr>
          <w:szCs w:val="23"/>
        </w:rPr>
        <w:t xml:space="preserve">Bu esaslar; Kıbrıs Sosyal Bilimler Üniversitesi </w:t>
      </w:r>
      <w:r w:rsidR="006A5A6A">
        <w:rPr>
          <w:szCs w:val="23"/>
        </w:rPr>
        <w:t>Ön lisans</w:t>
      </w:r>
      <w:r w:rsidRPr="00D37020">
        <w:rPr>
          <w:szCs w:val="23"/>
        </w:rPr>
        <w:t xml:space="preserve"> ve Lisans Eğitim-Öğretim Yönetmeliğinde geçen ilgili maddelere dayanılarak hazırlanmıştır. </w:t>
      </w:r>
    </w:p>
    <w:p w:rsidR="00D37020" w:rsidRPr="00D37020" w:rsidRDefault="00D37020" w:rsidP="00D37020">
      <w:pPr>
        <w:pStyle w:val="Default"/>
        <w:spacing w:after="270"/>
        <w:jc w:val="both"/>
        <w:rPr>
          <w:szCs w:val="23"/>
        </w:rPr>
      </w:pPr>
      <w:proofErr w:type="gramStart"/>
      <w:r w:rsidRPr="00D37020">
        <w:rPr>
          <w:b/>
          <w:bCs/>
          <w:sz w:val="26"/>
          <w:szCs w:val="26"/>
        </w:rPr>
        <w:t>4-</w:t>
      </w:r>
      <w:r>
        <w:rPr>
          <w:b/>
          <w:bCs/>
          <w:sz w:val="32"/>
          <w:szCs w:val="32"/>
        </w:rPr>
        <w:t xml:space="preserve"> </w:t>
      </w:r>
      <w:r w:rsidRPr="00D37020">
        <w:rPr>
          <w:szCs w:val="23"/>
        </w:rPr>
        <w:t>Üniversiteye kayıt hakkı kazanan öğrencilerin, daha önce devam ettikleri Yüksek Öğretim Programında başarılı oldukları derslerden muaf olabilmeleri ve diğer Yüksek Öğretim Kurumlarından alınan derslerin geçer notlarının muaf olarak değerlendirilebilmesi için, Fakülte/Yüksekokul</w:t>
      </w:r>
      <w:r w:rsidR="00D773C1">
        <w:rPr>
          <w:szCs w:val="23"/>
        </w:rPr>
        <w:t>/</w:t>
      </w:r>
      <w:proofErr w:type="spellStart"/>
      <w:r w:rsidR="00D773C1">
        <w:rPr>
          <w:szCs w:val="23"/>
        </w:rPr>
        <w:t>Enstitü’ye</w:t>
      </w:r>
      <w:proofErr w:type="spellEnd"/>
      <w:r w:rsidRPr="00D37020">
        <w:rPr>
          <w:szCs w:val="23"/>
        </w:rPr>
        <w:t xml:space="preserve"> muaf olmak istedikleri dersleri belirten bir dilekçe ve </w:t>
      </w:r>
      <w:proofErr w:type="spellStart"/>
      <w:r w:rsidRPr="00D37020">
        <w:rPr>
          <w:szCs w:val="23"/>
        </w:rPr>
        <w:t>Ek’ine</w:t>
      </w:r>
      <w:proofErr w:type="spellEnd"/>
      <w:r w:rsidRPr="00D37020">
        <w:rPr>
          <w:szCs w:val="23"/>
        </w:rPr>
        <w:t xml:space="preserve"> daha önce öğrenim gördüğü Yükseköğretim Kurumu tarafından onaylanmış (mühürlü, kaşeli ve imzalı) ders içerikleri ve not döküm belgesi (transkript) eklenmesi gerekir. </w:t>
      </w:r>
      <w:proofErr w:type="gramEnd"/>
      <w:r w:rsidRPr="00D37020">
        <w:rPr>
          <w:szCs w:val="23"/>
        </w:rPr>
        <w:t xml:space="preserve">Başvuru şahsen, resmi vekiller veya kargo yoluyla yapılmalıdır. </w:t>
      </w:r>
    </w:p>
    <w:p w:rsidR="00D37020" w:rsidRPr="00533F45" w:rsidRDefault="00D37020" w:rsidP="00533F45">
      <w:pPr>
        <w:pStyle w:val="Default"/>
        <w:jc w:val="both"/>
        <w:rPr>
          <w:szCs w:val="28"/>
        </w:rPr>
      </w:pPr>
      <w:r w:rsidRPr="00D37020">
        <w:rPr>
          <w:b/>
          <w:bCs/>
          <w:sz w:val="26"/>
          <w:szCs w:val="26"/>
        </w:rPr>
        <w:t>5-</w:t>
      </w:r>
      <w:r>
        <w:rPr>
          <w:b/>
          <w:bCs/>
          <w:sz w:val="32"/>
          <w:szCs w:val="32"/>
        </w:rPr>
        <w:t xml:space="preserve"> </w:t>
      </w:r>
      <w:r w:rsidRPr="00533F45">
        <w:rPr>
          <w:b/>
          <w:bCs/>
          <w:szCs w:val="28"/>
        </w:rPr>
        <w:t xml:space="preserve">Lisans Yerleştirme Sınavı ve yatay geçiş ile gelen öğrencilerin ders denklik başvuruları eğitime başlanılan yılın/yarıyılın </w:t>
      </w:r>
      <w:r w:rsidRPr="00533F45">
        <w:rPr>
          <w:b/>
          <w:bCs/>
          <w:szCs w:val="28"/>
          <w:u w:val="single"/>
        </w:rPr>
        <w:t>ilk 30(Otuz) gününe</w:t>
      </w:r>
      <w:r w:rsidRPr="00533F45">
        <w:rPr>
          <w:b/>
          <w:bCs/>
          <w:szCs w:val="28"/>
        </w:rPr>
        <w:t xml:space="preserve"> kadar yapılır. Bu tarihten sonra yapılacak ders denklik talepleri Kabul edilmez. </w:t>
      </w:r>
    </w:p>
    <w:p w:rsidR="00533F45" w:rsidRDefault="00533F45" w:rsidP="00D37020">
      <w:pPr>
        <w:pStyle w:val="Default"/>
        <w:rPr>
          <w:sz w:val="28"/>
          <w:szCs w:val="28"/>
        </w:rPr>
      </w:pPr>
    </w:p>
    <w:p w:rsidR="00D37020" w:rsidRDefault="00D37020" w:rsidP="00350BF7">
      <w:pPr>
        <w:pStyle w:val="Default"/>
        <w:jc w:val="both"/>
        <w:rPr>
          <w:sz w:val="23"/>
          <w:szCs w:val="23"/>
        </w:rPr>
      </w:pPr>
      <w:r w:rsidRPr="00350BF7">
        <w:rPr>
          <w:b/>
          <w:bCs/>
          <w:sz w:val="26"/>
          <w:szCs w:val="26"/>
        </w:rPr>
        <w:t>6-</w:t>
      </w:r>
      <w:r>
        <w:rPr>
          <w:b/>
          <w:bCs/>
          <w:sz w:val="32"/>
          <w:szCs w:val="32"/>
        </w:rPr>
        <w:t xml:space="preserve"> </w:t>
      </w:r>
      <w:r w:rsidRPr="00350BF7">
        <w:rPr>
          <w:szCs w:val="23"/>
        </w:rPr>
        <w:t xml:space="preserve">Ders denklik işleminde ders/dersler, ilgili </w:t>
      </w:r>
      <w:r w:rsidR="00350BF7" w:rsidRPr="00350BF7">
        <w:rPr>
          <w:szCs w:val="23"/>
        </w:rPr>
        <w:t xml:space="preserve">Fakülte/Yüksekokul/Enstitü </w:t>
      </w:r>
      <w:r w:rsidRPr="00350BF7">
        <w:rPr>
          <w:szCs w:val="23"/>
        </w:rPr>
        <w:t xml:space="preserve">Yönetim Kurulu tarafından incelenir ve bir intibak programı düzenlenir. Düzenlenen bu program ilgili </w:t>
      </w:r>
      <w:r w:rsidR="00350BF7" w:rsidRPr="00350BF7">
        <w:rPr>
          <w:szCs w:val="23"/>
        </w:rPr>
        <w:t xml:space="preserve">Fakülte/Yüksekokul/Enstitü </w:t>
      </w:r>
      <w:r w:rsidRPr="00350BF7">
        <w:rPr>
          <w:szCs w:val="23"/>
        </w:rPr>
        <w:lastRenderedPageBreak/>
        <w:t>Yönetim Kurulunca değerlendirilerek daha önce al</w:t>
      </w:r>
      <w:r w:rsidR="00350BF7">
        <w:rPr>
          <w:szCs w:val="23"/>
        </w:rPr>
        <w:t>ıp da başarılı olduğu ve muaf olmayı</w:t>
      </w:r>
      <w:r w:rsidRPr="00350BF7">
        <w:rPr>
          <w:szCs w:val="23"/>
        </w:rPr>
        <w:t xml:space="preserve"> talep ettiği tüm dersler için karara bağlanır. </w:t>
      </w:r>
      <w:r w:rsidR="00350BF7" w:rsidRPr="00350BF7">
        <w:rPr>
          <w:szCs w:val="23"/>
        </w:rPr>
        <w:t xml:space="preserve">Bu kararı takiben </w:t>
      </w:r>
      <w:r w:rsidRPr="00350BF7">
        <w:rPr>
          <w:szCs w:val="23"/>
        </w:rPr>
        <w:t xml:space="preserve">öğrencilerin intibakları ilgili yarıyıl/yıla yapılır. </w:t>
      </w:r>
    </w:p>
    <w:p w:rsidR="00D37020" w:rsidRDefault="00D37020" w:rsidP="00D37020">
      <w:pPr>
        <w:pStyle w:val="Default"/>
        <w:rPr>
          <w:sz w:val="23"/>
          <w:szCs w:val="23"/>
        </w:rPr>
      </w:pPr>
    </w:p>
    <w:p w:rsidR="00D37020" w:rsidRDefault="00D37020" w:rsidP="00350BF7">
      <w:pPr>
        <w:pStyle w:val="Default"/>
        <w:jc w:val="both"/>
        <w:rPr>
          <w:sz w:val="23"/>
          <w:szCs w:val="23"/>
        </w:rPr>
      </w:pPr>
      <w:r w:rsidRPr="00350BF7">
        <w:rPr>
          <w:b/>
          <w:bCs/>
          <w:sz w:val="26"/>
          <w:szCs w:val="26"/>
        </w:rPr>
        <w:t>7-</w:t>
      </w:r>
      <w:r>
        <w:rPr>
          <w:b/>
          <w:bCs/>
          <w:sz w:val="32"/>
          <w:szCs w:val="32"/>
        </w:rPr>
        <w:t xml:space="preserve"> </w:t>
      </w:r>
      <w:r w:rsidRPr="00350BF7">
        <w:rPr>
          <w:szCs w:val="23"/>
        </w:rPr>
        <w:t xml:space="preserve">Ders denklik talebi ilgili </w:t>
      </w:r>
      <w:r w:rsidR="00350BF7" w:rsidRPr="00350BF7">
        <w:rPr>
          <w:szCs w:val="23"/>
        </w:rPr>
        <w:t xml:space="preserve">Fakülte/Yüksekokul/Enstitü </w:t>
      </w:r>
      <w:r w:rsidRPr="00350BF7">
        <w:rPr>
          <w:szCs w:val="23"/>
        </w:rPr>
        <w:t xml:space="preserve">Yönetim Kurulu tarafından karara bağlanıncaya kadar öğrenciler, ders denklik talebinde bulunduğu ders/derslere devam etmelidir. </w:t>
      </w:r>
    </w:p>
    <w:p w:rsidR="00D37020" w:rsidRDefault="00D37020" w:rsidP="00350BF7">
      <w:pPr>
        <w:pStyle w:val="Default"/>
        <w:jc w:val="both"/>
        <w:rPr>
          <w:sz w:val="23"/>
          <w:szCs w:val="23"/>
        </w:rPr>
      </w:pPr>
    </w:p>
    <w:p w:rsidR="00D37020" w:rsidRDefault="00D37020" w:rsidP="00350BF7">
      <w:pPr>
        <w:pStyle w:val="Default"/>
        <w:jc w:val="both"/>
        <w:rPr>
          <w:sz w:val="23"/>
          <w:szCs w:val="23"/>
        </w:rPr>
      </w:pPr>
      <w:r w:rsidRPr="00350BF7">
        <w:rPr>
          <w:b/>
          <w:bCs/>
          <w:sz w:val="26"/>
          <w:szCs w:val="26"/>
        </w:rPr>
        <w:t>8-</w:t>
      </w:r>
      <w:r>
        <w:rPr>
          <w:b/>
          <w:bCs/>
          <w:sz w:val="32"/>
          <w:szCs w:val="32"/>
        </w:rPr>
        <w:t xml:space="preserve"> </w:t>
      </w:r>
      <w:r w:rsidR="00350BF7" w:rsidRPr="006A5A6A">
        <w:rPr>
          <w:szCs w:val="23"/>
        </w:rPr>
        <w:t>Ders muafiyeti işlemleri, Kıbrıs Sosyal Bilimler Üniversitesi'nin bağlı olduğu evrensel ilkeler/standartlar gözetilerek güncel mevzuat ve kararlara göre yapılır.</w:t>
      </w:r>
    </w:p>
    <w:p w:rsidR="00350BF7" w:rsidRDefault="00350BF7" w:rsidP="00350BF7">
      <w:pPr>
        <w:pStyle w:val="Default"/>
        <w:jc w:val="both"/>
        <w:rPr>
          <w:sz w:val="23"/>
          <w:szCs w:val="23"/>
        </w:rPr>
      </w:pPr>
    </w:p>
    <w:p w:rsidR="00D37020" w:rsidRPr="006A5A6A" w:rsidRDefault="00D37020" w:rsidP="00350BF7">
      <w:pPr>
        <w:pStyle w:val="Default"/>
        <w:spacing w:after="297"/>
        <w:jc w:val="both"/>
        <w:rPr>
          <w:szCs w:val="23"/>
        </w:rPr>
      </w:pPr>
      <w:r w:rsidRPr="00350BF7">
        <w:rPr>
          <w:b/>
          <w:bCs/>
          <w:sz w:val="26"/>
          <w:szCs w:val="26"/>
        </w:rPr>
        <w:t>9-</w:t>
      </w:r>
      <w:r>
        <w:rPr>
          <w:b/>
          <w:bCs/>
          <w:sz w:val="32"/>
          <w:szCs w:val="32"/>
        </w:rPr>
        <w:t xml:space="preserve"> </w:t>
      </w:r>
      <w:r w:rsidR="006A5A6A" w:rsidRPr="006A5A6A">
        <w:rPr>
          <w:szCs w:val="23"/>
        </w:rPr>
        <w:t>Muafiyete ilişkin incelemede denk sayılması talep edilen dersin haftalık ders saati ve/ya kredisinin, muaf olunması öngörülen dersle eşit (veya bu dersten fazla) olmasına ve iki dersin içeriği bakımından en az %80 oranında benzer olmasına dikkat edilir. Denklik verilmesi talep edilen dersin zorunlu veya seçmeli olarak alınması denklik durumunu etkilemez.</w:t>
      </w:r>
    </w:p>
    <w:p w:rsidR="00D37020" w:rsidRDefault="00D37020" w:rsidP="00350BF7">
      <w:pPr>
        <w:pStyle w:val="Default"/>
        <w:spacing w:after="297"/>
        <w:jc w:val="both"/>
        <w:rPr>
          <w:sz w:val="23"/>
          <w:szCs w:val="23"/>
        </w:rPr>
      </w:pPr>
      <w:r w:rsidRPr="00350BF7">
        <w:rPr>
          <w:b/>
          <w:bCs/>
          <w:sz w:val="26"/>
          <w:szCs w:val="26"/>
        </w:rPr>
        <w:t>10-</w:t>
      </w:r>
      <w:r>
        <w:rPr>
          <w:b/>
          <w:bCs/>
          <w:sz w:val="32"/>
          <w:szCs w:val="32"/>
        </w:rPr>
        <w:t xml:space="preserve"> </w:t>
      </w:r>
      <w:r w:rsidRPr="006A5A6A">
        <w:rPr>
          <w:szCs w:val="23"/>
        </w:rPr>
        <w:t xml:space="preserve">Muaf olunan derslerin kredi toplamı, ilgili programın ders programındaki derslerin toplam kredisinin %50’sini geçemez. </w:t>
      </w:r>
      <w:r w:rsidR="006A5A6A" w:rsidRPr="006A5A6A">
        <w:rPr>
          <w:szCs w:val="23"/>
        </w:rPr>
        <w:t>Denklik verilmesi talep edilen derslerin kredileri</w:t>
      </w:r>
      <w:r w:rsidRPr="006A5A6A">
        <w:rPr>
          <w:szCs w:val="23"/>
        </w:rPr>
        <w:t xml:space="preserve">, toplam ders kredilerinin yarısından fazla ise, öğrencinin talebi doğrultusunda; şayet öğrencinin böyle bir talebi yoksa öğrencinin almış olduğu en yüksek nottan başlayarak, muaf olunacak dersler belirlenmelidir. </w:t>
      </w:r>
    </w:p>
    <w:p w:rsidR="00D37020" w:rsidRPr="006A5A6A" w:rsidRDefault="00D37020" w:rsidP="00350BF7">
      <w:pPr>
        <w:pStyle w:val="Default"/>
        <w:spacing w:after="297"/>
        <w:jc w:val="both"/>
        <w:rPr>
          <w:szCs w:val="23"/>
        </w:rPr>
      </w:pPr>
      <w:r w:rsidRPr="00350BF7">
        <w:rPr>
          <w:b/>
          <w:bCs/>
          <w:sz w:val="26"/>
          <w:szCs w:val="26"/>
        </w:rPr>
        <w:t>11-</w:t>
      </w:r>
      <w:r>
        <w:rPr>
          <w:b/>
          <w:bCs/>
          <w:sz w:val="32"/>
          <w:szCs w:val="32"/>
        </w:rPr>
        <w:t xml:space="preserve"> </w:t>
      </w:r>
      <w:r w:rsidRPr="006A5A6A">
        <w:rPr>
          <w:szCs w:val="23"/>
        </w:rPr>
        <w:t>Öğrencilerin geldiği programda alıp da başarılı olduğu ve denklik talep ettiği dersler kredi ve içerik bakımından uygunsa muaf sayıl</w:t>
      </w:r>
      <w:r w:rsidR="006A5A6A">
        <w:rPr>
          <w:szCs w:val="23"/>
        </w:rPr>
        <w:t xml:space="preserve">ır ve not döküm belgesine </w:t>
      </w:r>
      <w:r w:rsidRPr="006A5A6A">
        <w:rPr>
          <w:szCs w:val="23"/>
        </w:rPr>
        <w:t>Muaf ol</w:t>
      </w:r>
      <w:r w:rsidR="006A5A6A">
        <w:rPr>
          <w:szCs w:val="23"/>
        </w:rPr>
        <w:t xml:space="preserve">arak işlenir. Başarı notu </w:t>
      </w:r>
      <w:r w:rsidRPr="006A5A6A">
        <w:rPr>
          <w:szCs w:val="23"/>
        </w:rPr>
        <w:t xml:space="preserve">Muaf ile takdir edilen dersler Ağırlıklı Başarı Ortalaması hesaplanmasında değerlendirmeye katılır. </w:t>
      </w:r>
    </w:p>
    <w:p w:rsidR="00D37020" w:rsidRDefault="00D37020" w:rsidP="00350BF7">
      <w:pPr>
        <w:pStyle w:val="Default"/>
        <w:spacing w:after="297"/>
        <w:jc w:val="both"/>
        <w:rPr>
          <w:sz w:val="23"/>
          <w:szCs w:val="23"/>
        </w:rPr>
      </w:pPr>
      <w:r w:rsidRPr="00350BF7">
        <w:rPr>
          <w:b/>
          <w:bCs/>
          <w:sz w:val="26"/>
          <w:szCs w:val="26"/>
        </w:rPr>
        <w:t>12-</w:t>
      </w:r>
      <w:r>
        <w:rPr>
          <w:b/>
          <w:bCs/>
          <w:sz w:val="32"/>
          <w:szCs w:val="32"/>
        </w:rPr>
        <w:t xml:space="preserve"> </w:t>
      </w:r>
      <w:r w:rsidR="006A5A6A" w:rsidRPr="006A5A6A">
        <w:rPr>
          <w:szCs w:val="23"/>
        </w:rPr>
        <w:t>Denklik verilmesi talep edilen dersler, söz konusu öğrenci tarafından en az CC(2.00) notla geçilmiş olmalıdır</w:t>
      </w:r>
      <w:r w:rsidRPr="006A5A6A">
        <w:rPr>
          <w:szCs w:val="23"/>
        </w:rPr>
        <w:t xml:space="preserve">. </w:t>
      </w:r>
    </w:p>
    <w:p w:rsidR="00D37020" w:rsidRPr="006A5A6A" w:rsidRDefault="00D37020" w:rsidP="00350BF7">
      <w:pPr>
        <w:pStyle w:val="Default"/>
        <w:spacing w:after="297"/>
        <w:jc w:val="both"/>
        <w:rPr>
          <w:szCs w:val="23"/>
        </w:rPr>
      </w:pPr>
      <w:r w:rsidRPr="00350BF7">
        <w:rPr>
          <w:b/>
          <w:bCs/>
          <w:sz w:val="26"/>
          <w:szCs w:val="26"/>
        </w:rPr>
        <w:t>13-</w:t>
      </w:r>
      <w:r>
        <w:rPr>
          <w:b/>
          <w:bCs/>
          <w:sz w:val="32"/>
          <w:szCs w:val="32"/>
        </w:rPr>
        <w:t xml:space="preserve"> </w:t>
      </w:r>
      <w:r w:rsidRPr="006A5A6A">
        <w:rPr>
          <w:szCs w:val="23"/>
        </w:rPr>
        <w:t xml:space="preserve">Ders denklik işleminde not karşılığı olmayan derslerin verilecek not karşılıklarının </w:t>
      </w:r>
      <w:r w:rsidR="006A5A6A">
        <w:rPr>
          <w:szCs w:val="23"/>
        </w:rPr>
        <w:t>ön lisans</w:t>
      </w:r>
      <w:r w:rsidRPr="006A5A6A">
        <w:rPr>
          <w:szCs w:val="23"/>
        </w:rPr>
        <w:t xml:space="preserve"> ve lisans programlarında en düşük başarılı notu CC (2.00) olmalıdır. </w:t>
      </w:r>
    </w:p>
    <w:p w:rsidR="00D37020" w:rsidRDefault="00D37020" w:rsidP="00350BF7">
      <w:pPr>
        <w:pStyle w:val="Default"/>
        <w:spacing w:after="297"/>
        <w:jc w:val="both"/>
        <w:rPr>
          <w:sz w:val="23"/>
          <w:szCs w:val="23"/>
        </w:rPr>
      </w:pPr>
      <w:r w:rsidRPr="00350BF7">
        <w:rPr>
          <w:b/>
          <w:bCs/>
          <w:sz w:val="26"/>
          <w:szCs w:val="26"/>
        </w:rPr>
        <w:t>14-</w:t>
      </w:r>
      <w:r>
        <w:rPr>
          <w:b/>
          <w:bCs/>
          <w:sz w:val="32"/>
          <w:szCs w:val="32"/>
        </w:rPr>
        <w:t xml:space="preserve"> </w:t>
      </w:r>
      <w:r w:rsidRPr="006A5A6A">
        <w:rPr>
          <w:szCs w:val="23"/>
        </w:rPr>
        <w:t xml:space="preserve">Birden fazla kez tekrarlanan dersler için en son alınan başarı notu denklik değerlendirmesine esas alınmalıdır. </w:t>
      </w:r>
    </w:p>
    <w:p w:rsidR="00D37020" w:rsidRDefault="00D37020" w:rsidP="00350BF7">
      <w:pPr>
        <w:pStyle w:val="Default"/>
        <w:jc w:val="both"/>
        <w:rPr>
          <w:sz w:val="23"/>
          <w:szCs w:val="23"/>
        </w:rPr>
      </w:pPr>
      <w:r w:rsidRPr="00350BF7">
        <w:rPr>
          <w:b/>
          <w:bCs/>
          <w:sz w:val="26"/>
          <w:szCs w:val="26"/>
        </w:rPr>
        <w:t>15-</w:t>
      </w:r>
      <w:r>
        <w:rPr>
          <w:b/>
          <w:bCs/>
          <w:sz w:val="32"/>
          <w:szCs w:val="32"/>
        </w:rPr>
        <w:t xml:space="preserve"> </w:t>
      </w:r>
      <w:r w:rsidRPr="006A5A6A">
        <w:rPr>
          <w:szCs w:val="23"/>
        </w:rPr>
        <w:t xml:space="preserve">Eğitim dili farklı olan </w:t>
      </w:r>
      <w:r w:rsidR="006A5A6A" w:rsidRPr="006A5A6A">
        <w:rPr>
          <w:szCs w:val="23"/>
        </w:rPr>
        <w:t>derslere denklik verilmesi hususunda "Fakülte/Yüksekokul/Enstitü Yönetim Kurulu yetkilidir</w:t>
      </w:r>
      <w:r w:rsidRPr="006A5A6A">
        <w:rPr>
          <w:szCs w:val="23"/>
        </w:rPr>
        <w:t xml:space="preserve">. </w:t>
      </w:r>
    </w:p>
    <w:p w:rsidR="00D37020" w:rsidRDefault="00D37020" w:rsidP="00350BF7">
      <w:pPr>
        <w:pStyle w:val="Default"/>
        <w:jc w:val="both"/>
        <w:rPr>
          <w:sz w:val="23"/>
          <w:szCs w:val="23"/>
        </w:rPr>
      </w:pPr>
    </w:p>
    <w:p w:rsidR="00D37020" w:rsidRDefault="00D37020" w:rsidP="00350BF7">
      <w:pPr>
        <w:pStyle w:val="Default"/>
        <w:spacing w:after="299"/>
        <w:jc w:val="both"/>
        <w:rPr>
          <w:sz w:val="23"/>
          <w:szCs w:val="23"/>
        </w:rPr>
      </w:pPr>
      <w:r w:rsidRPr="00350BF7">
        <w:rPr>
          <w:b/>
          <w:bCs/>
          <w:sz w:val="26"/>
          <w:szCs w:val="26"/>
        </w:rPr>
        <w:t>16-</w:t>
      </w:r>
      <w:r>
        <w:rPr>
          <w:b/>
          <w:bCs/>
          <w:sz w:val="32"/>
          <w:szCs w:val="32"/>
        </w:rPr>
        <w:t xml:space="preserve"> </w:t>
      </w:r>
      <w:r w:rsidRPr="006A5A6A">
        <w:rPr>
          <w:szCs w:val="23"/>
        </w:rPr>
        <w:t xml:space="preserve">Yükseköğretim kurumlarının veya diğer eğitim kurum ve kuruluşlarının tertiplemiş olduğu kurs, sertifika programı vb. tamamlayarak, bununla ilgili onaylı belgeye sahip olanların, belgelerinin kabul veya denklik işlemleri ilgili </w:t>
      </w:r>
      <w:r w:rsidR="00350BF7" w:rsidRPr="006A5A6A">
        <w:rPr>
          <w:szCs w:val="23"/>
        </w:rPr>
        <w:t xml:space="preserve">Fakülte/Yüksekokul/Enstitü </w:t>
      </w:r>
      <w:r w:rsidRPr="006A5A6A">
        <w:rPr>
          <w:szCs w:val="23"/>
        </w:rPr>
        <w:t xml:space="preserve">Yönetim Kurulu Kararıyla gerçekleşir. </w:t>
      </w:r>
    </w:p>
    <w:p w:rsidR="00D37020" w:rsidRDefault="00D37020" w:rsidP="00350BF7">
      <w:pPr>
        <w:pStyle w:val="Default"/>
        <w:spacing w:after="299"/>
        <w:jc w:val="both"/>
        <w:rPr>
          <w:sz w:val="23"/>
          <w:szCs w:val="23"/>
        </w:rPr>
      </w:pPr>
      <w:r w:rsidRPr="00350BF7">
        <w:rPr>
          <w:b/>
          <w:bCs/>
          <w:sz w:val="26"/>
          <w:szCs w:val="26"/>
        </w:rPr>
        <w:t>17-</w:t>
      </w:r>
      <w:r>
        <w:rPr>
          <w:b/>
          <w:bCs/>
          <w:sz w:val="32"/>
          <w:szCs w:val="32"/>
        </w:rPr>
        <w:t xml:space="preserve"> </w:t>
      </w:r>
      <w:r w:rsidRPr="006A5A6A">
        <w:rPr>
          <w:szCs w:val="23"/>
        </w:rPr>
        <w:t xml:space="preserve">Öğrencinin çift </w:t>
      </w:r>
      <w:proofErr w:type="spellStart"/>
      <w:r w:rsidRPr="006A5A6A">
        <w:rPr>
          <w:szCs w:val="23"/>
        </w:rPr>
        <w:t>anadal</w:t>
      </w:r>
      <w:proofErr w:type="spellEnd"/>
      <w:r w:rsidRPr="006A5A6A">
        <w:rPr>
          <w:szCs w:val="23"/>
        </w:rPr>
        <w:t>/</w:t>
      </w:r>
      <w:proofErr w:type="spellStart"/>
      <w:r w:rsidRPr="006A5A6A">
        <w:rPr>
          <w:szCs w:val="23"/>
        </w:rPr>
        <w:t>yandal</w:t>
      </w:r>
      <w:proofErr w:type="spellEnd"/>
      <w:r w:rsidRPr="006A5A6A">
        <w:rPr>
          <w:szCs w:val="23"/>
        </w:rPr>
        <w:t xml:space="preserve"> programında aldığı dersler </w:t>
      </w:r>
      <w:r w:rsidR="006A5A6A" w:rsidRPr="006A5A6A">
        <w:rPr>
          <w:szCs w:val="23"/>
        </w:rPr>
        <w:t xml:space="preserve">öğrencinin </w:t>
      </w:r>
      <w:proofErr w:type="spellStart"/>
      <w:r w:rsidR="006A5A6A" w:rsidRPr="006A5A6A">
        <w:rPr>
          <w:szCs w:val="23"/>
        </w:rPr>
        <w:t>anadal</w:t>
      </w:r>
      <w:proofErr w:type="spellEnd"/>
      <w:r w:rsidR="006A5A6A" w:rsidRPr="006A5A6A">
        <w:rPr>
          <w:szCs w:val="23"/>
        </w:rPr>
        <w:t xml:space="preserve"> programında muafiyet sağlamaz</w:t>
      </w:r>
      <w:r w:rsidRPr="006A5A6A">
        <w:rPr>
          <w:szCs w:val="23"/>
        </w:rPr>
        <w:t xml:space="preserve">. Öğrencinin çift </w:t>
      </w:r>
      <w:proofErr w:type="spellStart"/>
      <w:r w:rsidRPr="006A5A6A">
        <w:rPr>
          <w:szCs w:val="23"/>
        </w:rPr>
        <w:t>anadal</w:t>
      </w:r>
      <w:proofErr w:type="spellEnd"/>
      <w:r w:rsidRPr="006A5A6A">
        <w:rPr>
          <w:szCs w:val="23"/>
        </w:rPr>
        <w:t>/</w:t>
      </w:r>
      <w:proofErr w:type="spellStart"/>
      <w:r w:rsidRPr="006A5A6A">
        <w:rPr>
          <w:szCs w:val="23"/>
        </w:rPr>
        <w:t>yandal</w:t>
      </w:r>
      <w:proofErr w:type="spellEnd"/>
      <w:r w:rsidRPr="006A5A6A">
        <w:rPr>
          <w:szCs w:val="23"/>
        </w:rPr>
        <w:t xml:space="preserve"> programından kaydı silindiği durumlarda çift </w:t>
      </w:r>
      <w:proofErr w:type="spellStart"/>
      <w:r w:rsidRPr="006A5A6A">
        <w:rPr>
          <w:szCs w:val="23"/>
        </w:rPr>
        <w:t>anadal</w:t>
      </w:r>
      <w:proofErr w:type="spellEnd"/>
      <w:r w:rsidRPr="006A5A6A">
        <w:rPr>
          <w:szCs w:val="23"/>
        </w:rPr>
        <w:t>/</w:t>
      </w:r>
      <w:proofErr w:type="spellStart"/>
      <w:r w:rsidRPr="006A5A6A">
        <w:rPr>
          <w:szCs w:val="23"/>
        </w:rPr>
        <w:t>yandal</w:t>
      </w:r>
      <w:proofErr w:type="spellEnd"/>
      <w:r w:rsidRPr="006A5A6A">
        <w:rPr>
          <w:szCs w:val="23"/>
        </w:rPr>
        <w:t xml:space="preserve"> programında aldığı ders, </w:t>
      </w:r>
      <w:proofErr w:type="spellStart"/>
      <w:r w:rsidRPr="006A5A6A">
        <w:rPr>
          <w:szCs w:val="23"/>
        </w:rPr>
        <w:t>anadal</w:t>
      </w:r>
      <w:proofErr w:type="spellEnd"/>
      <w:r w:rsidRPr="006A5A6A">
        <w:rPr>
          <w:szCs w:val="23"/>
        </w:rPr>
        <w:t xml:space="preserve"> programında seçmeli ders olarak saydırılabilir. </w:t>
      </w:r>
    </w:p>
    <w:p w:rsidR="00D37020" w:rsidRDefault="00D37020" w:rsidP="00350BF7">
      <w:pPr>
        <w:pStyle w:val="Default"/>
        <w:spacing w:after="299"/>
        <w:jc w:val="both"/>
        <w:rPr>
          <w:sz w:val="23"/>
          <w:szCs w:val="23"/>
        </w:rPr>
      </w:pPr>
      <w:r w:rsidRPr="00350BF7">
        <w:rPr>
          <w:b/>
          <w:bCs/>
          <w:sz w:val="26"/>
          <w:szCs w:val="26"/>
        </w:rPr>
        <w:t>18-</w:t>
      </w:r>
      <w:r>
        <w:rPr>
          <w:b/>
          <w:bCs/>
          <w:sz w:val="32"/>
          <w:szCs w:val="32"/>
        </w:rPr>
        <w:t xml:space="preserve"> </w:t>
      </w:r>
      <w:r w:rsidRPr="006A5A6A">
        <w:rPr>
          <w:szCs w:val="23"/>
        </w:rPr>
        <w:t xml:space="preserve">Muaf olunan derslerin AKTS Kredi toplamı, ders programında gösterilen yarıyıl/yıl AKTS Kredi yükünün %80’inden fazla ise öğrenci bir üst yarıyıla/yıla intibak ettirilmeli, alınmayan/muaf olunan dersler öncelikle alınmalıdır. </w:t>
      </w:r>
    </w:p>
    <w:p w:rsidR="00D37020" w:rsidRDefault="00D37020" w:rsidP="00350BF7">
      <w:pPr>
        <w:pStyle w:val="Default"/>
        <w:spacing w:after="299"/>
        <w:jc w:val="both"/>
        <w:rPr>
          <w:sz w:val="23"/>
          <w:szCs w:val="23"/>
        </w:rPr>
      </w:pPr>
      <w:r w:rsidRPr="00350BF7">
        <w:rPr>
          <w:b/>
          <w:bCs/>
          <w:sz w:val="26"/>
          <w:szCs w:val="26"/>
        </w:rPr>
        <w:t>19-</w:t>
      </w:r>
      <w:r>
        <w:rPr>
          <w:b/>
          <w:bCs/>
          <w:sz w:val="32"/>
          <w:szCs w:val="32"/>
        </w:rPr>
        <w:t xml:space="preserve"> </w:t>
      </w:r>
      <w:r w:rsidR="006A5A6A" w:rsidRPr="006A5A6A">
        <w:rPr>
          <w:szCs w:val="23"/>
        </w:rPr>
        <w:t xml:space="preserve">Lisans programına intibakı yapılan öğrencilerin </w:t>
      </w:r>
      <w:r w:rsidR="006A5A6A">
        <w:rPr>
          <w:szCs w:val="23"/>
        </w:rPr>
        <w:t>ön lisans</w:t>
      </w:r>
      <w:r w:rsidR="006A5A6A" w:rsidRPr="006A5A6A">
        <w:rPr>
          <w:szCs w:val="23"/>
        </w:rPr>
        <w:t xml:space="preserve"> eğitimi sırasında almış oldukları dersler, ilgili Fakülte/Yüksekokul/Enstitü Yönetim Kurulu tarafından incelenir ve uygun görülen derslerin denkliği kab</w:t>
      </w:r>
      <w:r w:rsidR="006A5A6A">
        <w:rPr>
          <w:szCs w:val="23"/>
        </w:rPr>
        <w:t>u</w:t>
      </w:r>
      <w:r w:rsidR="006A5A6A" w:rsidRPr="006A5A6A">
        <w:rPr>
          <w:szCs w:val="23"/>
        </w:rPr>
        <w:t>l edilebilir.</w:t>
      </w:r>
    </w:p>
    <w:p w:rsidR="00D37020" w:rsidRDefault="00D37020" w:rsidP="00350BF7">
      <w:pPr>
        <w:pStyle w:val="Default"/>
        <w:spacing w:after="299"/>
        <w:jc w:val="both"/>
        <w:rPr>
          <w:sz w:val="23"/>
          <w:szCs w:val="23"/>
        </w:rPr>
      </w:pPr>
      <w:proofErr w:type="gramStart"/>
      <w:r w:rsidRPr="00350BF7">
        <w:rPr>
          <w:b/>
          <w:bCs/>
          <w:sz w:val="26"/>
          <w:szCs w:val="26"/>
        </w:rPr>
        <w:t>20-</w:t>
      </w:r>
      <w:r>
        <w:rPr>
          <w:b/>
          <w:bCs/>
          <w:sz w:val="32"/>
          <w:szCs w:val="32"/>
        </w:rPr>
        <w:t xml:space="preserve"> </w:t>
      </w:r>
      <w:r w:rsidRPr="006A5A6A">
        <w:rPr>
          <w:szCs w:val="23"/>
        </w:rPr>
        <w:t xml:space="preserve">Kıbrıs Sosyal Bilimler Üniversitesi programlarından birine kayıtlı iken, YÖK/YÖDAK tarafından denkliği kabul edilen başka bir yükseköğretim kurumunun programlarında özel veya misafir öğrenci statüsünde ders almak isteyen ve/veya ulusal/uluslararası değişim programları ile öğrenim gören öğrencilerin </w:t>
      </w:r>
      <w:r w:rsidRPr="006A5A6A">
        <w:rPr>
          <w:szCs w:val="23"/>
        </w:rPr>
        <w:lastRenderedPageBreak/>
        <w:t xml:space="preserve">diğer yükseköğretim kurumlarından alacağı derslerin, bu kurumlarda eğitime başlamadan önce, öğrencinin kayıtlı olduğu </w:t>
      </w:r>
      <w:r w:rsidR="00350BF7" w:rsidRPr="006A5A6A">
        <w:rPr>
          <w:szCs w:val="23"/>
        </w:rPr>
        <w:t xml:space="preserve">Fakülte/Yüksekokul/Enstitü </w:t>
      </w:r>
      <w:r w:rsidRPr="006A5A6A">
        <w:rPr>
          <w:szCs w:val="23"/>
        </w:rPr>
        <w:t xml:space="preserve">Yönetim Kurulu kararıyla kabul edilmiş olması ve izin alması gerekmektedir. </w:t>
      </w:r>
      <w:proofErr w:type="gramEnd"/>
    </w:p>
    <w:p w:rsidR="00D37020" w:rsidRPr="00730D86" w:rsidRDefault="00D37020" w:rsidP="00350BF7">
      <w:pPr>
        <w:pStyle w:val="Default"/>
        <w:spacing w:after="299"/>
        <w:jc w:val="both"/>
        <w:rPr>
          <w:szCs w:val="23"/>
        </w:rPr>
      </w:pPr>
      <w:r w:rsidRPr="00350BF7">
        <w:rPr>
          <w:b/>
          <w:bCs/>
          <w:sz w:val="26"/>
          <w:szCs w:val="26"/>
        </w:rPr>
        <w:t>21-</w:t>
      </w:r>
      <w:r>
        <w:rPr>
          <w:b/>
          <w:bCs/>
          <w:sz w:val="32"/>
          <w:szCs w:val="32"/>
        </w:rPr>
        <w:t xml:space="preserve"> </w:t>
      </w:r>
      <w:r w:rsidRPr="00730D86">
        <w:rPr>
          <w:szCs w:val="23"/>
        </w:rPr>
        <w:t xml:space="preserve">Kurumlar arası yatay geçişle kayıt yaptıran öğrencilerin intibakları, yatay geçiş yaptıkları sınıfın ilgili yarıyılına/yılına yapılmalıdır. </w:t>
      </w:r>
    </w:p>
    <w:p w:rsidR="00D37020" w:rsidRDefault="00D37020" w:rsidP="00350BF7">
      <w:pPr>
        <w:pStyle w:val="Default"/>
        <w:spacing w:after="299"/>
        <w:jc w:val="both"/>
        <w:rPr>
          <w:sz w:val="23"/>
          <w:szCs w:val="23"/>
        </w:rPr>
      </w:pPr>
      <w:r w:rsidRPr="00350BF7">
        <w:rPr>
          <w:b/>
          <w:bCs/>
          <w:sz w:val="26"/>
          <w:szCs w:val="26"/>
        </w:rPr>
        <w:t>22-</w:t>
      </w:r>
      <w:r>
        <w:rPr>
          <w:b/>
          <w:bCs/>
          <w:sz w:val="32"/>
          <w:szCs w:val="32"/>
        </w:rPr>
        <w:t xml:space="preserve"> </w:t>
      </w:r>
      <w:r w:rsidRPr="00730D86">
        <w:rPr>
          <w:szCs w:val="23"/>
        </w:rPr>
        <w:t xml:space="preserve">Kurum içi yatay geçişlerde, ders intibakları yapıldıktan sonra öğrenciye önceki yarıyıllardan/yıllardan ders aldırılabilir. Bundan dolayı yıl kayıpları meydana gelebilir. İkinci öğretim programından aynı programın birinci öğretimine geçiş yapan öğrencilerin, bulundukları sınıfa notları ile birlikte intibakları yapılmalıdır. </w:t>
      </w:r>
    </w:p>
    <w:p w:rsidR="00D37020" w:rsidRPr="00730D86" w:rsidRDefault="00D37020" w:rsidP="00350BF7">
      <w:pPr>
        <w:pStyle w:val="Default"/>
        <w:jc w:val="both"/>
        <w:rPr>
          <w:szCs w:val="23"/>
        </w:rPr>
      </w:pPr>
      <w:r w:rsidRPr="00350BF7">
        <w:rPr>
          <w:b/>
          <w:bCs/>
          <w:sz w:val="26"/>
          <w:szCs w:val="26"/>
        </w:rPr>
        <w:t>23-</w:t>
      </w:r>
      <w:r>
        <w:rPr>
          <w:b/>
          <w:bCs/>
          <w:sz w:val="32"/>
          <w:szCs w:val="32"/>
        </w:rPr>
        <w:t xml:space="preserve"> </w:t>
      </w:r>
      <w:r w:rsidRPr="00730D86">
        <w:rPr>
          <w:szCs w:val="23"/>
        </w:rPr>
        <w:t xml:space="preserve">Dikey geçiş ile lisans programlarına yerleşen öğrencilerin diploma programından mezuniyet koşullarını sağlamaları halinde, lisans not ortalamaları </w:t>
      </w:r>
      <w:r w:rsidR="006A5A6A" w:rsidRPr="00730D86">
        <w:rPr>
          <w:szCs w:val="23"/>
        </w:rPr>
        <w:t>ön lisans</w:t>
      </w:r>
      <w:r w:rsidRPr="00730D86">
        <w:rPr>
          <w:szCs w:val="23"/>
        </w:rPr>
        <w:t xml:space="preserve"> programında alarak lisans programında intibakı yapılan dersler ile lisans eğitimi sırasında aldığı dersler üzerinden hesaplanmalıdır. </w:t>
      </w:r>
    </w:p>
    <w:p w:rsidR="00D37020" w:rsidRDefault="00D37020" w:rsidP="00350BF7">
      <w:pPr>
        <w:pStyle w:val="Default"/>
        <w:jc w:val="both"/>
        <w:rPr>
          <w:sz w:val="23"/>
          <w:szCs w:val="23"/>
        </w:rPr>
      </w:pPr>
    </w:p>
    <w:p w:rsidR="00730D86" w:rsidRDefault="00730D86" w:rsidP="00350BF7">
      <w:pPr>
        <w:pStyle w:val="Default"/>
        <w:jc w:val="both"/>
        <w:rPr>
          <w:sz w:val="23"/>
          <w:szCs w:val="23"/>
        </w:rPr>
      </w:pPr>
    </w:p>
    <w:p w:rsidR="00730D86" w:rsidRDefault="00730D86" w:rsidP="00350BF7">
      <w:pPr>
        <w:pStyle w:val="Default"/>
        <w:jc w:val="both"/>
        <w:rPr>
          <w:sz w:val="23"/>
          <w:szCs w:val="23"/>
        </w:rPr>
      </w:pPr>
    </w:p>
    <w:p w:rsidR="00D37020" w:rsidRDefault="00D37020" w:rsidP="00D37020">
      <w:pPr>
        <w:pStyle w:val="Default"/>
        <w:pageBreakBefore/>
        <w:rPr>
          <w:sz w:val="23"/>
          <w:szCs w:val="23"/>
        </w:rPr>
      </w:pPr>
    </w:p>
    <w:p w:rsidR="00D37020" w:rsidRDefault="00D37020" w:rsidP="00D37020">
      <w:pPr>
        <w:pStyle w:val="Default"/>
        <w:spacing w:after="299"/>
        <w:rPr>
          <w:sz w:val="23"/>
          <w:szCs w:val="23"/>
        </w:rPr>
      </w:pPr>
      <w:r>
        <w:rPr>
          <w:b/>
          <w:bCs/>
          <w:sz w:val="32"/>
          <w:szCs w:val="32"/>
        </w:rPr>
        <w:t xml:space="preserve">24- </w:t>
      </w:r>
      <w:r>
        <w:rPr>
          <w:sz w:val="23"/>
          <w:szCs w:val="23"/>
        </w:rPr>
        <w:t xml:space="preserve">Kayıtlı olduğu </w:t>
      </w:r>
      <w:r w:rsidR="006A5A6A">
        <w:rPr>
          <w:sz w:val="23"/>
          <w:szCs w:val="23"/>
        </w:rPr>
        <w:t>ön lisans</w:t>
      </w:r>
      <w:r>
        <w:rPr>
          <w:sz w:val="23"/>
          <w:szCs w:val="23"/>
        </w:rPr>
        <w:t xml:space="preserve"> ve lisans programlarını bitirmeden ÖSYM tarafından üniversitemize yeniden yerleştirilmiş ve daha önceki programlarında başarılı olduğu dersleri </w:t>
      </w:r>
      <w:proofErr w:type="spellStart"/>
      <w:r>
        <w:rPr>
          <w:sz w:val="23"/>
          <w:szCs w:val="23"/>
        </w:rPr>
        <w:t>denklikk</w:t>
      </w:r>
      <w:proofErr w:type="spellEnd"/>
      <w:r>
        <w:rPr>
          <w:sz w:val="23"/>
          <w:szCs w:val="23"/>
        </w:rPr>
        <w:t xml:space="preserve"> isteyen öğrencilerin, ders denklik işlemleri ilgili Fakültelerin Yönetim Kurulu tarafından karara bağlanır. </w:t>
      </w:r>
    </w:p>
    <w:p w:rsidR="00D37020" w:rsidRDefault="00D37020" w:rsidP="00D37020">
      <w:pPr>
        <w:pStyle w:val="Default"/>
        <w:rPr>
          <w:sz w:val="23"/>
          <w:szCs w:val="23"/>
        </w:rPr>
      </w:pPr>
      <w:r>
        <w:rPr>
          <w:b/>
          <w:bCs/>
          <w:sz w:val="32"/>
          <w:szCs w:val="32"/>
        </w:rPr>
        <w:t xml:space="preserve">25- </w:t>
      </w:r>
      <w:r>
        <w:rPr>
          <w:sz w:val="23"/>
          <w:szCs w:val="23"/>
        </w:rPr>
        <w:t xml:space="preserve">Yapılan ders denklik/intibak sonuçlarına itirazlar, denklik işleminin kesinleşip öğrenciye bildirildiği tarihten itibaren en geç yedi (7) gün içinde ilgili birime yapılmalıdır. </w:t>
      </w:r>
    </w:p>
    <w:p w:rsidR="00AC6ED6" w:rsidRPr="00D37020" w:rsidRDefault="00AC6ED6" w:rsidP="00D37020"/>
    <w:sectPr w:rsidR="00AC6ED6" w:rsidRPr="00D37020" w:rsidSect="00533F45">
      <w:footerReference w:type="default" r:id="rId9"/>
      <w:type w:val="continuous"/>
      <w:pgSz w:w="11911" w:h="173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9C" w:rsidRDefault="003C339C" w:rsidP="00350BF7">
      <w:r>
        <w:separator/>
      </w:r>
    </w:p>
  </w:endnote>
  <w:endnote w:type="continuationSeparator" w:id="0">
    <w:p w:rsidR="003C339C" w:rsidRDefault="003C339C" w:rsidP="0035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135096"/>
      <w:docPartObj>
        <w:docPartGallery w:val="Page Numbers (Bottom of Page)"/>
        <w:docPartUnique/>
      </w:docPartObj>
    </w:sdtPr>
    <w:sdtEndPr/>
    <w:sdtContent>
      <w:p w:rsidR="00350BF7" w:rsidRDefault="00350BF7">
        <w:pPr>
          <w:pStyle w:val="Altbilgi"/>
          <w:jc w:val="center"/>
        </w:pPr>
        <w:r>
          <w:fldChar w:fldCharType="begin"/>
        </w:r>
        <w:r>
          <w:instrText>PAGE   \* MERGEFORMAT</w:instrText>
        </w:r>
        <w:r>
          <w:fldChar w:fldCharType="separate"/>
        </w:r>
        <w:r w:rsidR="00311706" w:rsidRPr="00311706">
          <w:rPr>
            <w:noProof/>
            <w:lang w:val="tr-TR"/>
          </w:rPr>
          <w:t>1</w:t>
        </w:r>
        <w:r>
          <w:fldChar w:fldCharType="end"/>
        </w:r>
      </w:p>
    </w:sdtContent>
  </w:sdt>
  <w:p w:rsidR="00350BF7" w:rsidRDefault="00350B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9C" w:rsidRDefault="003C339C" w:rsidP="00350BF7">
      <w:r>
        <w:separator/>
      </w:r>
    </w:p>
  </w:footnote>
  <w:footnote w:type="continuationSeparator" w:id="0">
    <w:p w:rsidR="003C339C" w:rsidRDefault="003C339C" w:rsidP="00350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250A12"/>
    <w:multiLevelType w:val="hybridMultilevel"/>
    <w:tmpl w:val="0F4074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91B6C1A"/>
    <w:multiLevelType w:val="hybridMultilevel"/>
    <w:tmpl w:val="9F2A8A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D9C1F96"/>
    <w:multiLevelType w:val="hybridMultilevel"/>
    <w:tmpl w:val="F28097F6"/>
    <w:lvl w:ilvl="0" w:tplc="041F000F">
      <w:start w:val="1"/>
      <w:numFmt w:val="decimal"/>
      <w:lvlText w:val="%1."/>
      <w:lvlJc w:val="left"/>
      <w:pPr>
        <w:ind w:left="356" w:hanging="356"/>
      </w:pPr>
      <w:rPr>
        <w:rFonts w:hint="default"/>
        <w:b/>
        <w:bCs/>
        <w:spacing w:val="0"/>
        <w:w w:val="99"/>
        <w:sz w:val="32"/>
        <w:szCs w:val="32"/>
      </w:rPr>
    </w:lvl>
    <w:lvl w:ilvl="1" w:tplc="3A0AE696">
      <w:numFmt w:val="bullet"/>
      <w:lvlText w:val="•"/>
      <w:lvlJc w:val="left"/>
      <w:pPr>
        <w:ind w:left="1038" w:hanging="356"/>
      </w:pPr>
      <w:rPr>
        <w:rFonts w:hint="default"/>
      </w:rPr>
    </w:lvl>
    <w:lvl w:ilvl="2" w:tplc="94366696">
      <w:numFmt w:val="bullet"/>
      <w:lvlText w:val="•"/>
      <w:lvlJc w:val="left"/>
      <w:pPr>
        <w:ind w:left="1957" w:hanging="356"/>
      </w:pPr>
      <w:rPr>
        <w:rFonts w:hint="default"/>
      </w:rPr>
    </w:lvl>
    <w:lvl w:ilvl="3" w:tplc="0CF2F1DE">
      <w:numFmt w:val="bullet"/>
      <w:lvlText w:val="•"/>
      <w:lvlJc w:val="left"/>
      <w:pPr>
        <w:ind w:left="2875" w:hanging="356"/>
      </w:pPr>
      <w:rPr>
        <w:rFonts w:hint="default"/>
      </w:rPr>
    </w:lvl>
    <w:lvl w:ilvl="4" w:tplc="82D008B0">
      <w:numFmt w:val="bullet"/>
      <w:lvlText w:val="•"/>
      <w:lvlJc w:val="left"/>
      <w:pPr>
        <w:ind w:left="3794" w:hanging="356"/>
      </w:pPr>
      <w:rPr>
        <w:rFonts w:hint="default"/>
      </w:rPr>
    </w:lvl>
    <w:lvl w:ilvl="5" w:tplc="B072724E">
      <w:numFmt w:val="bullet"/>
      <w:lvlText w:val="•"/>
      <w:lvlJc w:val="left"/>
      <w:pPr>
        <w:ind w:left="4713" w:hanging="356"/>
      </w:pPr>
      <w:rPr>
        <w:rFonts w:hint="default"/>
      </w:rPr>
    </w:lvl>
    <w:lvl w:ilvl="6" w:tplc="BA92FB3C">
      <w:numFmt w:val="bullet"/>
      <w:lvlText w:val="•"/>
      <w:lvlJc w:val="left"/>
      <w:pPr>
        <w:ind w:left="5631" w:hanging="356"/>
      </w:pPr>
      <w:rPr>
        <w:rFonts w:hint="default"/>
      </w:rPr>
    </w:lvl>
    <w:lvl w:ilvl="7" w:tplc="AF34EB40">
      <w:numFmt w:val="bullet"/>
      <w:lvlText w:val="•"/>
      <w:lvlJc w:val="left"/>
      <w:pPr>
        <w:ind w:left="6550" w:hanging="356"/>
      </w:pPr>
      <w:rPr>
        <w:rFonts w:hint="default"/>
      </w:rPr>
    </w:lvl>
    <w:lvl w:ilvl="8" w:tplc="9DD44A92">
      <w:numFmt w:val="bullet"/>
      <w:lvlText w:val="•"/>
      <w:lvlJc w:val="left"/>
      <w:pPr>
        <w:ind w:left="7469" w:hanging="356"/>
      </w:pPr>
      <w:rPr>
        <w:rFonts w:hint="default"/>
      </w:rPr>
    </w:lvl>
  </w:abstractNum>
  <w:abstractNum w:abstractNumId="3">
    <w:nsid w:val="51AABF59"/>
    <w:multiLevelType w:val="hybridMultilevel"/>
    <w:tmpl w:val="245C7E8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1D2345"/>
    <w:multiLevelType w:val="hybridMultilevel"/>
    <w:tmpl w:val="99D8698A"/>
    <w:lvl w:ilvl="0" w:tplc="5BC29578">
      <w:start w:val="1"/>
      <w:numFmt w:val="lowerLetter"/>
      <w:lvlText w:val="%1)"/>
      <w:lvlJc w:val="left"/>
      <w:pPr>
        <w:ind w:left="118" w:hanging="260"/>
      </w:pPr>
      <w:rPr>
        <w:rFonts w:ascii="Times New Roman" w:eastAsia="Times New Roman" w:hAnsi="Times New Roman" w:cs="Times New Roman" w:hint="default"/>
        <w:b/>
        <w:bCs/>
        <w:w w:val="99"/>
        <w:sz w:val="24"/>
        <w:szCs w:val="24"/>
      </w:rPr>
    </w:lvl>
    <w:lvl w:ilvl="1" w:tplc="85188AC6">
      <w:numFmt w:val="bullet"/>
      <w:lvlText w:val="•"/>
      <w:lvlJc w:val="left"/>
      <w:pPr>
        <w:ind w:left="1038" w:hanging="260"/>
      </w:pPr>
      <w:rPr>
        <w:rFonts w:hint="default"/>
      </w:rPr>
    </w:lvl>
    <w:lvl w:ilvl="2" w:tplc="38AA3248">
      <w:numFmt w:val="bullet"/>
      <w:lvlText w:val="•"/>
      <w:lvlJc w:val="left"/>
      <w:pPr>
        <w:ind w:left="1957" w:hanging="260"/>
      </w:pPr>
      <w:rPr>
        <w:rFonts w:hint="default"/>
      </w:rPr>
    </w:lvl>
    <w:lvl w:ilvl="3" w:tplc="3DAC60C6">
      <w:numFmt w:val="bullet"/>
      <w:lvlText w:val="•"/>
      <w:lvlJc w:val="left"/>
      <w:pPr>
        <w:ind w:left="2875" w:hanging="260"/>
      </w:pPr>
      <w:rPr>
        <w:rFonts w:hint="default"/>
      </w:rPr>
    </w:lvl>
    <w:lvl w:ilvl="4" w:tplc="ECD65146">
      <w:numFmt w:val="bullet"/>
      <w:lvlText w:val="•"/>
      <w:lvlJc w:val="left"/>
      <w:pPr>
        <w:ind w:left="3794" w:hanging="260"/>
      </w:pPr>
      <w:rPr>
        <w:rFonts w:hint="default"/>
      </w:rPr>
    </w:lvl>
    <w:lvl w:ilvl="5" w:tplc="81C62586">
      <w:numFmt w:val="bullet"/>
      <w:lvlText w:val="•"/>
      <w:lvlJc w:val="left"/>
      <w:pPr>
        <w:ind w:left="4713" w:hanging="260"/>
      </w:pPr>
      <w:rPr>
        <w:rFonts w:hint="default"/>
      </w:rPr>
    </w:lvl>
    <w:lvl w:ilvl="6" w:tplc="E94E0892">
      <w:numFmt w:val="bullet"/>
      <w:lvlText w:val="•"/>
      <w:lvlJc w:val="left"/>
      <w:pPr>
        <w:ind w:left="5631" w:hanging="260"/>
      </w:pPr>
      <w:rPr>
        <w:rFonts w:hint="default"/>
      </w:rPr>
    </w:lvl>
    <w:lvl w:ilvl="7" w:tplc="45F667D8">
      <w:numFmt w:val="bullet"/>
      <w:lvlText w:val="•"/>
      <w:lvlJc w:val="left"/>
      <w:pPr>
        <w:ind w:left="6550" w:hanging="260"/>
      </w:pPr>
      <w:rPr>
        <w:rFonts w:hint="default"/>
      </w:rPr>
    </w:lvl>
    <w:lvl w:ilvl="8" w:tplc="486CBC8A">
      <w:numFmt w:val="bullet"/>
      <w:lvlText w:val="•"/>
      <w:lvlJc w:val="left"/>
      <w:pPr>
        <w:ind w:left="7469" w:hanging="2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C6ED6"/>
    <w:rsid w:val="000334D8"/>
    <w:rsid w:val="00311706"/>
    <w:rsid w:val="00350BF7"/>
    <w:rsid w:val="003C339C"/>
    <w:rsid w:val="0043630B"/>
    <w:rsid w:val="00533F45"/>
    <w:rsid w:val="006A5A6A"/>
    <w:rsid w:val="006B2573"/>
    <w:rsid w:val="00730D86"/>
    <w:rsid w:val="007914B6"/>
    <w:rsid w:val="00813D26"/>
    <w:rsid w:val="00877CC0"/>
    <w:rsid w:val="009535B1"/>
    <w:rsid w:val="00AC6ED6"/>
    <w:rsid w:val="00AE2921"/>
    <w:rsid w:val="00B141A7"/>
    <w:rsid w:val="00C1051F"/>
    <w:rsid w:val="00C62E49"/>
    <w:rsid w:val="00D37020"/>
    <w:rsid w:val="00D773C1"/>
    <w:rsid w:val="00D80EF1"/>
    <w:rsid w:val="00D92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32"/>
      <w:ind w:left="1230" w:right="525" w:hanging="1863"/>
      <w:outlineLvl w:val="0"/>
    </w:pPr>
    <w:rPr>
      <w:b/>
      <w:bCs/>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207"/>
      <w:ind w:left="118"/>
      <w:jc w:val="both"/>
    </w:pPr>
    <w:rPr>
      <w:sz w:val="24"/>
      <w:szCs w:val="24"/>
    </w:rPr>
  </w:style>
  <w:style w:type="paragraph" w:styleId="ListeParagraf">
    <w:name w:val="List Paragraph"/>
    <w:basedOn w:val="Normal"/>
    <w:uiPriority w:val="1"/>
    <w:qFormat/>
    <w:pPr>
      <w:spacing w:before="207"/>
      <w:ind w:left="118" w:right="114"/>
      <w:jc w:val="both"/>
    </w:pPr>
  </w:style>
  <w:style w:type="paragraph" w:customStyle="1" w:styleId="TableParagraph">
    <w:name w:val="Table Paragraph"/>
    <w:basedOn w:val="Normal"/>
    <w:uiPriority w:val="1"/>
    <w:qFormat/>
    <w:pPr>
      <w:spacing w:line="268" w:lineRule="exact"/>
      <w:ind w:left="100"/>
    </w:pPr>
  </w:style>
  <w:style w:type="paragraph" w:customStyle="1" w:styleId="Default">
    <w:name w:val="Default"/>
    <w:rsid w:val="00D37020"/>
    <w:pPr>
      <w:widowControl/>
      <w:autoSpaceDE w:val="0"/>
      <w:autoSpaceDN w:val="0"/>
      <w:adjustRightInd w:val="0"/>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350BF7"/>
    <w:pPr>
      <w:tabs>
        <w:tab w:val="center" w:pos="4536"/>
        <w:tab w:val="right" w:pos="9072"/>
      </w:tabs>
    </w:pPr>
  </w:style>
  <w:style w:type="character" w:customStyle="1" w:styleId="stbilgiChar">
    <w:name w:val="Üstbilgi Char"/>
    <w:basedOn w:val="VarsaylanParagrafYazTipi"/>
    <w:link w:val="stbilgi"/>
    <w:uiPriority w:val="99"/>
    <w:rsid w:val="00350BF7"/>
    <w:rPr>
      <w:rFonts w:ascii="Times New Roman" w:eastAsia="Times New Roman" w:hAnsi="Times New Roman" w:cs="Times New Roman"/>
    </w:rPr>
  </w:style>
  <w:style w:type="paragraph" w:styleId="Altbilgi">
    <w:name w:val="footer"/>
    <w:basedOn w:val="Normal"/>
    <w:link w:val="AltbilgiChar"/>
    <w:uiPriority w:val="99"/>
    <w:unhideWhenUsed/>
    <w:rsid w:val="00350BF7"/>
    <w:pPr>
      <w:tabs>
        <w:tab w:val="center" w:pos="4536"/>
        <w:tab w:val="right" w:pos="9072"/>
      </w:tabs>
    </w:pPr>
  </w:style>
  <w:style w:type="character" w:customStyle="1" w:styleId="AltbilgiChar">
    <w:name w:val="Altbilgi Char"/>
    <w:basedOn w:val="VarsaylanParagrafYazTipi"/>
    <w:link w:val="Altbilgi"/>
    <w:uiPriority w:val="99"/>
    <w:rsid w:val="00350BF7"/>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43630B"/>
    <w:rPr>
      <w:rFonts w:ascii="Tahoma" w:hAnsi="Tahoma" w:cs="Tahoma"/>
      <w:sz w:val="16"/>
      <w:szCs w:val="16"/>
    </w:rPr>
  </w:style>
  <w:style w:type="character" w:customStyle="1" w:styleId="BalonMetniChar">
    <w:name w:val="Balon Metni Char"/>
    <w:basedOn w:val="VarsaylanParagrafYazTipi"/>
    <w:link w:val="BalonMetni"/>
    <w:uiPriority w:val="99"/>
    <w:semiHidden/>
    <w:rsid w:val="004363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2122">
      <w:bodyDiv w:val="1"/>
      <w:marLeft w:val="0"/>
      <w:marRight w:val="0"/>
      <w:marTop w:val="0"/>
      <w:marBottom w:val="0"/>
      <w:divBdr>
        <w:top w:val="none" w:sz="0" w:space="0" w:color="auto"/>
        <w:left w:val="none" w:sz="0" w:space="0" w:color="auto"/>
        <w:bottom w:val="none" w:sz="0" w:space="0" w:color="auto"/>
        <w:right w:val="none" w:sz="0" w:space="0" w:color="auto"/>
      </w:divBdr>
    </w:div>
    <w:div w:id="1005746832">
      <w:bodyDiv w:val="1"/>
      <w:marLeft w:val="0"/>
      <w:marRight w:val="0"/>
      <w:marTop w:val="0"/>
      <w:marBottom w:val="0"/>
      <w:divBdr>
        <w:top w:val="none" w:sz="0" w:space="0" w:color="auto"/>
        <w:left w:val="none" w:sz="0" w:space="0" w:color="auto"/>
        <w:bottom w:val="none" w:sz="0" w:space="0" w:color="auto"/>
        <w:right w:val="none" w:sz="0" w:space="0" w:color="auto"/>
      </w:divBdr>
    </w:div>
    <w:div w:id="209335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1126</Words>
  <Characters>6423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EY</cp:lastModifiedBy>
  <cp:revision>14</cp:revision>
  <dcterms:created xsi:type="dcterms:W3CDTF">2017-08-09T09:11:00Z</dcterms:created>
  <dcterms:modified xsi:type="dcterms:W3CDTF">2017-08-14T11:27:00Z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2015-08-21T00:00:00Z</vt:filetime>
  </property>
  <property fmtid="{D5CDD505-2E9C-101B-9397-08002B2CF9AE}" pid="3" name="Creator">
    <vt:lpwstr>Microsoft® Office Word 2007</vt:lpwstr>
  </property>
  <property fmtid="{D5CDD505-2E9C-101B-9397-08002B2CF9AE}" pid="4" name="LastSaved">
    <vt:filetime>2017-08-09T00:00:00Z</vt:filetime>
  </property>
</Properties>
</file>